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临床前动物试验研究资料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{此处放入临床前动物试验研究资料的内容}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pStyle w:val="2"/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 w:eastAsia="zh-CN" w:bidi="ar-SA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 w:eastAsia="zh-CN" w:bidi="ar-SA"/>
        </w:rPr>
        <w:t>【理论上讲，是否需要开展动物试验，应在评估其他研究的充分性基础上进行判定，建议参考《医疗器械动物实验研究技术审查指导原则 第一部分：决策原则》以及申报产品相关的标准、审评指导原则等法规进行综合判定，如提交临床前动物试验研究资料的，至少应包括动物试验研究的目的、结果及记录等，具体以现行的法规要求为准】</w:t>
      </w: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5806507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2023-06-26T12:12:40Z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