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pPr>
      <w:r>
        <w:rPr>
          <w:rFonts w:hint="eastAsia" w:eastAsia="黑体"/>
          <w:b/>
          <w:bCs w:val="0"/>
          <w:kern w:val="44"/>
          <w:sz w:val="32"/>
          <w:szCs w:val="44"/>
          <w:lang w:val="en-US" w:eastAsia="zh-CN"/>
        </w:rPr>
        <w:t>生产企业灭菌确认资料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{此处放入生产企业灭菌确认资料的内容}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(不适用)</w:t>
      </w:r>
    </w:p>
    <w:p>
      <w:pPr>
        <w:pStyle w:val="2"/>
        <w:rPr>
          <w:rFonts w:hint="default"/>
          <w:lang w:val="en-US" w:eastAsia="zh-CN"/>
        </w:rPr>
      </w:pPr>
      <w:r>
        <w:rPr>
          <w:rFonts w:hint="eastAsia"/>
          <w:lang w:val="en-US" w:eastAsia="zh-CN"/>
        </w:rPr>
        <w:t>或</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无菌性能</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{此处放入无菌性能指标相关的产品技术要求的研究和编制说明的内容}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无菌性能指标建议考虑申报产品产品技术要求中的指标、需要符合的相关国家标准、行业标准、国际标准等、申报产品适用的专门的审评指导原则、《医疗器械安全和性能的基本原则》相关适用条款中与无菌性能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无菌性能</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{此处放入无菌性能指标的确定依据}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无菌性能指标逐条说明确定依据，确定依据包括但不限于相关国家标准、行业标准、国际标准、申报产品适用的专门的审评指导原则、已上市产品等等】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无菌性能</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{此处放入无菌性能指标的所采用的标准或方法，采用的原因及理论基础}</w:t>
      </w:r>
    </w:p>
    <w:p>
      <w:pPr>
        <w:pStyle w:val="2"/>
        <w:jc w:val="both"/>
        <w:rPr>
          <w:rFonts w:hint="eastAsia" w:ascii="宋体" w:hAnsi="宋体" w:cs="宋体"/>
          <w:b/>
          <w:bCs/>
          <w:kern w:val="0"/>
          <w:sz w:val="28"/>
          <w:szCs w:val="28"/>
          <w:lang w:val="en-US" w:eastAsia="zh-CN"/>
        </w:rPr>
      </w:pPr>
    </w:p>
    <w:p>
      <w:pPr>
        <w:pStyle w:val="2"/>
        <w:numPr>
          <w:ilvl w:val="0"/>
          <w:numId w:val="0"/>
        </w:numPr>
        <w:ind w:leftChars="0"/>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4.灭菌工艺和无菌保证水平（SAL）</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{此处放入灭菌工艺和无菌保证水平（SAL）的内容}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【如果产品由生产企业灭菌，需说明灭菌工艺，包括具体的灭菌方法（例如EO灭菌、高压蒸汽灭菌等），以及具体的灭菌参数(如灭菌剂的浓度用量、灭菌时间、灭菌温度等)，以及能达到的无菌保证水平】</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5.灭菌确认报告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{此处放入灭菌确认报告}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0DA667FA"/>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2023-06-26T12:08:43Z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