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pPr>
      <w:r>
        <w:rPr>
          <w:rFonts w:hint="eastAsia" w:eastAsia="黑体"/>
          <w:b/>
          <w:bCs w:val="0"/>
          <w:kern w:val="44"/>
          <w:sz w:val="32"/>
          <w:szCs w:val="44"/>
          <w:lang w:val="en-US" w:eastAsia="zh-CN"/>
        </w:rPr>
        <w:t>最终使用者灭菌确认资料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{此处放入最终使用者灭菌确认资料的内容}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（不适用）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1.推荐的灭菌工艺（方法和参数）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{此处放入推荐的灭菌工艺（方法和参数）的内容}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需要由终端用户灭菌，产品的制造商(即注册项目申请人)通常需要在给到终端用户的使用说明书或标签等资料中推荐其采用的灭菌工艺，包括具体的灭菌方法（例如EO灭菌、高压蒸汽灭菌等），以及具体的灭菌参数(如灭菌剂的浓度用量、灭菌时间、灭菌温度等)】</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2.推荐的灭菌方法确定的依据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{此处放入推荐的灭菌方法确定的依据的内容}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需要由终端用户灭菌，产品的制造商(即注册项目申请人)推荐其采用的灭菌方法，是需要提供推荐灭菌方法确定的依据的，比如是经过制造商根据相关的法规、标准等验证和确认过的灭菌方法，此处需要附上相应的灭菌工艺的验证和确认资料】</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3.推荐的灭菌方法耐受性的研究资料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{此处放入推荐的灭菌方法耐受性的研究资料}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需要由终端用户灭菌，且需要两次及以上的灭菌，即产品可以耐受两次或多次灭菌，对这种情况，是需要提交对推荐的灭菌方法耐受性的研究资料的，即按照推荐的灭菌方法灭菌所宣称的次数后(比如30次)产品能维持其性能功能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p>
    <w:p>
      <w:pPr>
        <w:pStyle w:val="2"/>
        <w:jc w:val="both"/>
        <w:rPr>
          <w:rFonts w:hint="default" w:ascii="宋体" w:hAnsi="宋体" w:cs="宋体"/>
          <w:b/>
          <w:bCs/>
          <w:kern w:val="0"/>
          <w:sz w:val="28"/>
          <w:szCs w:val="28"/>
          <w:lang w:val="en-US" w:eastAsia="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933BB1"/>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2023-06-26T12:07:48Z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