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lang w:val="en-US" w:eastAsia="zh-CN"/>
        </w:rPr>
      </w:pPr>
      <w:r>
        <w:rPr>
          <w:rFonts w:hint="eastAsia" w:eastAsia="黑体"/>
          <w:b/>
          <w:bCs w:val="0"/>
          <w:kern w:val="44"/>
          <w:sz w:val="32"/>
          <w:szCs w:val="44"/>
          <w:lang w:val="en-US" w:eastAsia="zh-CN"/>
        </w:rPr>
        <w:t>非材料介导的热原研究资料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{此处放入非材料介导的热原研究资料的内容}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（不适用）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或</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非材料介导的热原</w:t>
      </w:r>
      <w:r>
        <w:rPr>
          <w:rFonts w:hint="eastAsia" w:ascii="宋体" w:hAnsi="宋体" w:eastAsia="宋体" w:cs="宋体"/>
          <w:b/>
          <w:bCs/>
          <w:kern w:val="0"/>
          <w:sz w:val="28"/>
          <w:szCs w:val="28"/>
          <w:lang w:val="en-US" w:eastAsia="zh-CN"/>
        </w:rPr>
        <w:t>指标相关的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{此处放入非材料介导的热原指标相关的产品技术要求的研究和编制说明的内容}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非材料介导的热原指标建议考虑申报产品产品技术要求中的指标、需要符合的相关国家标准、行业标准、国际标准等、申报产品适用的专门的审评指导原则、《医疗器械安全和性能的基本原则》相关适用条款中与非材料介导的热原指标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非材料介导的热原</w:t>
      </w:r>
      <w:r>
        <w:rPr>
          <w:rFonts w:hint="eastAsia" w:ascii="宋体" w:hAnsi="宋体" w:eastAsia="宋体" w:cs="宋体"/>
          <w:b/>
          <w:bCs/>
          <w:kern w:val="0"/>
          <w:sz w:val="28"/>
          <w:szCs w:val="28"/>
          <w:lang w:val="en-US" w:eastAsia="zh-CN"/>
        </w:rPr>
        <w:t>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{此处放入非材料介导的热原指标的确定依据}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非材料介导的热原指标逐条说明确定依据，确定依据包括但不限于相关国家标准、行业标准、国际标准、申报产品适用的专门的审评指导原则、已上市产品等等】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非材料介导的热原</w:t>
      </w:r>
      <w:r>
        <w:rPr>
          <w:rFonts w:hint="eastAsia" w:ascii="宋体" w:hAnsi="宋体" w:eastAsia="宋体" w:cs="宋体"/>
          <w:b/>
          <w:bCs/>
          <w:kern w:val="0"/>
          <w:sz w:val="28"/>
          <w:szCs w:val="28"/>
          <w:lang w:val="en-US" w:eastAsia="zh-CN"/>
        </w:rPr>
        <w:t>指标</w:t>
      </w:r>
      <w:r>
        <w:rPr>
          <w:rFonts w:hint="default" w:ascii="宋体" w:hAnsi="宋体" w:eastAsia="宋体" w:cs="宋体"/>
          <w:b/>
          <w:bCs/>
          <w:kern w:val="0"/>
          <w:sz w:val="28"/>
          <w:szCs w:val="28"/>
          <w:lang w:val="en-US" w:eastAsia="zh-CN"/>
        </w:rPr>
        <w:t>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{此处放入非材料介导的热原指标的所采用的标准或方法，采用的原因及理论基础}</w:t>
      </w:r>
    </w:p>
    <w:p>
      <w:pPr>
        <w:pStyle w:val="2"/>
        <w:numPr>
          <w:ilvl w:val="0"/>
          <w:numId w:val="0"/>
        </w:numPr>
        <w:autoSpaceDE w:val="0"/>
        <w:autoSpaceDN w:val="0"/>
        <w:adjustRightInd w:val="0"/>
        <w:spacing w:line="400" w:lineRule="exact"/>
        <w:rPr>
          <w:rFonts w:hint="default"/>
          <w:kern w:val="0"/>
          <w:sz w:val="2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4.</w:t>
      </w:r>
      <w:r>
        <w:rPr>
          <w:rFonts w:hint="eastAsia" w:ascii="宋体" w:hAnsi="宋体" w:eastAsia="宋体" w:cs="宋体"/>
          <w:b/>
          <w:bCs/>
          <w:kern w:val="0"/>
          <w:sz w:val="28"/>
          <w:szCs w:val="28"/>
          <w:lang w:val="en-US" w:eastAsia="zh-CN"/>
        </w:rPr>
        <w:t>非材料介导的热原研究</w:t>
      </w:r>
      <w:r>
        <w:rPr>
          <w:rFonts w:hint="eastAsia" w:ascii="宋体" w:hAnsi="宋体" w:cs="宋体"/>
          <w:b/>
          <w:bCs/>
          <w:kern w:val="0"/>
          <w:sz w:val="28"/>
          <w:szCs w:val="28"/>
          <w:lang w:val="en-US" w:eastAsia="zh-CN"/>
        </w:rPr>
        <w:t>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{此处放入非材料介导的热原研究资料，或者用单独的附录}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【以下</w:t>
      </w:r>
      <w:r>
        <w:rPr>
          <w:rFonts w:hint="eastAsia" w:eastAsia="黑体"/>
          <w:bCs/>
          <w:i/>
          <w:iCs/>
          <w:color w:val="0070C0"/>
          <w:kern w:val="44"/>
          <w:sz w:val="21"/>
          <w:szCs w:val="21"/>
          <w:lang w:val="en-US" w:eastAsia="zh-CN"/>
        </w:rPr>
        <w:t>4.1-4.4为建议包括的内容，供参考</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4.1 研究描述、研究编号、起始日期</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4.2 总结</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 完整报告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【建议至少包含研究方法、研究结果、研究结论】</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4.4  统计数据</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w:t>
      </w:r>
    </w:p>
    <w:p>
      <w:pPr>
        <w:pStyle w:val="2"/>
        <w:rPr>
          <w:rFonts w:hint="eastAsia"/>
          <w:kern w:val="0"/>
          <w:sz w:val="22"/>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2921732F"/>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2023-06-26T12:04:49Z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