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生物相容性测试报告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0" w:name="_Toc3737"/>
      <w:r>
        <w:rPr>
          <w:rFonts w:hint="eastAsia" w:eastAsia="黑体"/>
          <w:bCs/>
          <w:i w:val="0"/>
          <w:iCs w:val="0"/>
          <w:color w:val="auto"/>
          <w:kern w:val="44"/>
          <w:sz w:val="21"/>
          <w:szCs w:val="21"/>
          <w:lang w:val="en-US" w:eastAsia="zh-CN"/>
        </w:rPr>
        <w:t>{此处放入生物相容性测试报告的内容}</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en-US" w:eastAsia="zh-CN"/>
        </w:rPr>
      </w:pPr>
      <w:bookmarkStart w:id="1" w:name="_Toc1646"/>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 xml:space="preserve"> </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1"/>
      <w:r>
        <w:rPr>
          <w:rFonts w:hint="eastAsia" w:eastAsia="黑体"/>
          <w:bCs/>
          <w:i/>
          <w:iCs/>
          <w:color w:val="0070C0"/>
          <w:kern w:val="44"/>
          <w:sz w:val="21"/>
          <w:szCs w:val="21"/>
          <w:lang w:val="en-US" w:eastAsia="zh-CN"/>
        </w:rPr>
        <w:t xml:space="preserve"> </w:t>
      </w:r>
    </w:p>
    <w:p>
      <w:pPr>
        <w:pStyle w:val="8"/>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需要对成品中所有与患者和使用者直接或间接接触的材料进行生物学评价研究资料，如果根据生物学评价资料中认为需要开展的生物学试验，需要提交完整的试验报告，并依据符合相关生物相容性标准，比如GB/T16886系列现行标准；</w:t>
      </w:r>
    </w:p>
    <w:p>
      <w:pPr>
        <w:pStyle w:val="8"/>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生物学试验在具有医疗器械检验资质认定、在其承检范围之内的生物学实验室开展。</w:t>
      </w:r>
    </w:p>
    <w:p>
      <w:pPr>
        <w:pStyle w:val="8"/>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国外实验室出具的生物学试验报告，附有国外实验室表明其符合GLP实验室要求的质量保证文件。</w:t>
      </w:r>
    </w:p>
    <w:p>
      <w:pPr>
        <w:pStyle w:val="8"/>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具体的测试及测试机构的要求需要以现行的法规要求为准】</w:t>
      </w:r>
    </w:p>
    <w:p>
      <w:pPr>
        <w:pStyle w:val="8"/>
        <w:rPr>
          <w:rFonts w:hint="eastAsia" w:ascii="Times New Roman" w:hAnsi="Times New Roman" w:eastAsia="黑体" w:cs="Times New Roman"/>
          <w:bCs/>
          <w:i/>
          <w:iCs/>
          <w:color w:val="0070C0"/>
          <w:kern w:val="44"/>
          <w:sz w:val="21"/>
          <w:szCs w:val="21"/>
          <w:lang w:val="en-US" w:eastAsia="zh-CN" w:bidi="ar-SA"/>
        </w:rPr>
      </w:pPr>
    </w:p>
    <w:p>
      <w:pPr>
        <w:pStyle w:val="8"/>
        <w:rPr>
          <w:rFonts w:hint="eastAsia" w:ascii="Times New Roman" w:hAnsi="Times New Roman" w:eastAsia="黑体" w:cs="Times New Roman"/>
          <w:bCs/>
          <w:i/>
          <w:iCs/>
          <w:color w:val="0070C0"/>
          <w:kern w:val="44"/>
          <w:sz w:val="21"/>
          <w:szCs w:val="21"/>
          <w:lang w:val="en-US" w:eastAsia="zh-CN" w:bidi="ar-SA"/>
        </w:rPr>
      </w:pPr>
    </w:p>
    <w:p>
      <w:pPr>
        <w:pStyle w:val="8"/>
        <w:rPr>
          <w:rFonts w:hint="eastAsia" w:ascii="Times New Roman" w:hAnsi="Times New Roman" w:eastAsia="黑体" w:cs="Times New Roman"/>
          <w:bCs/>
          <w:i/>
          <w:iCs/>
          <w:color w:val="0070C0"/>
          <w:kern w:val="44"/>
          <w:sz w:val="21"/>
          <w:szCs w:val="21"/>
          <w:lang w:val="en-US" w:eastAsia="zh-CN" w:bidi="ar-SA"/>
        </w:rPr>
      </w:pPr>
    </w:p>
    <w:p>
      <w:pPr>
        <w:pStyle w:val="8"/>
        <w:rPr>
          <w:rFonts w:hint="default" w:eastAsia="Univers 57 Condensed"/>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64F33FF"/>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
      <w:ind w:left="118"/>
    </w:pPr>
    <w:rPr>
      <w:rFonts w:ascii="Arial" w:hAnsi="Arial" w:cs="Arial"/>
      <w:sz w:val="22"/>
      <w:szCs w:val="2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2023-06-26T12:03:59Z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