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软件风险分析</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{此处放入软件风险分析的内容}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en-US" w:eastAsia="zh-CN"/>
        </w:rPr>
        <w:t>.</w:t>
      </w:r>
      <w:r>
        <w:rPr>
          <w:rFonts w:hint="eastAsia" w:eastAsia="黑体"/>
          <w:bCs/>
          <w:i/>
          <w:iCs/>
          <w:color w:val="0070C0"/>
          <w:kern w:val="44"/>
          <w:sz w:val="21"/>
          <w:szCs w:val="21"/>
          <w:lang w:val="zh-CN"/>
        </w:rPr>
        <w:t>根据注册申报事项以及产品实际判断是否适用，如适用，则需提交。如不适用，可以不必提交该资料。】</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bookmarkStart w:id="0" w:name="_GoBack"/>
      <w:bookmarkEnd w:id="0"/>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10"/>
        <w:spacing w:line="360" w:lineRule="auto"/>
        <w:ind w:left="0" w:leftChars="0" w:firstLine="0" w:firstLineChars="0"/>
        <w:jc w:val="both"/>
        <w:rPr>
          <w:rFonts w:hint="eastAsia" w:eastAsia="宋体" w:cs="Times New Roman"/>
          <w:sz w:val="24"/>
          <w:szCs w:val="24"/>
          <w:lang w:val="en-US" w:eastAsia="zh-CN"/>
        </w:rPr>
      </w:pPr>
      <w:r>
        <w:rPr>
          <w:rFonts w:hint="eastAsia" w:eastAsia="宋体" w:cs="Times New Roman"/>
          <w:sz w:val="24"/>
          <w:szCs w:val="24"/>
          <w:lang w:val="en-US" w:eastAsia="zh-CN"/>
        </w:rPr>
        <w:t>{此处放入软件风险管理的内容}</w:t>
      </w:r>
    </w:p>
    <w:p>
      <w:pPr>
        <w:pStyle w:val="10"/>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【提供软件风险管理流程图，依据流程图详述软件风险管理过程相关活动。</w:t>
      </w:r>
    </w:p>
    <w:p>
      <w:pPr>
        <w:pStyle w:val="10"/>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提供软件的风险分析报告、风险管理报告，涵盖功能、性能、接口、运行环境、云计算等方面情况。</w:t>
      </w:r>
    </w:p>
    <w:p>
      <w:pPr>
        <w:pStyle w:val="10"/>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r>
        <w:rPr>
          <w:rFonts w:hint="eastAsia" w:ascii="Times New Roman" w:hAnsi="Times New Roman" w:eastAsia="黑体" w:cs="Times New Roman"/>
          <w:bCs/>
          <w:i/>
          <w:iCs/>
          <w:color w:val="0070C0"/>
          <w:kern w:val="44"/>
          <w:sz w:val="24"/>
          <w:szCs w:val="24"/>
          <w:lang w:val="zh-CN" w:eastAsia="en-US" w:bidi="ar-SA"/>
        </w:rPr>
        <w:t>软件组件提供所属医疗器械的风险管理文档。】</w:t>
      </w:r>
    </w:p>
    <w:p>
      <w:pPr>
        <w:pStyle w:val="10"/>
        <w:spacing w:line="360" w:lineRule="auto"/>
        <w:ind w:left="0" w:leftChars="0" w:firstLine="0" w:firstLineChars="0"/>
        <w:jc w:val="left"/>
        <w:rPr>
          <w:rFonts w:hint="default" w:ascii="Times New Roman" w:hAnsi="Times New Roman" w:eastAsia="黑体" w:cs="Times New Roman"/>
          <w:bCs/>
          <w:i/>
          <w:iCs/>
          <w:color w:val="0070C0"/>
          <w:kern w:val="44"/>
          <w:sz w:val="24"/>
          <w:szCs w:val="24"/>
          <w:lang w:val="en-US" w:eastAsia="zh-CN" w:bidi="ar-SA"/>
        </w:rPr>
      </w:pPr>
      <w:r>
        <w:rPr>
          <w:rFonts w:hint="eastAsia" w:ascii="Times New Roman" w:hAnsi="Times New Roman" w:eastAsia="黑体" w:cs="Times New Roman"/>
          <w:bCs/>
          <w:i/>
          <w:iCs/>
          <w:color w:val="0070C0"/>
          <w:kern w:val="44"/>
          <w:sz w:val="24"/>
          <w:szCs w:val="24"/>
          <w:lang w:val="en-US" w:eastAsia="zh-CN" w:bidi="ar-SA"/>
        </w:rPr>
        <w:t>【依据并符合YY/T 0316以及YY/T0664】</w:t>
      </w:r>
    </w:p>
    <w:p>
      <w:pPr>
        <w:pStyle w:val="10"/>
        <w:spacing w:line="360" w:lineRule="auto"/>
        <w:ind w:left="0" w:leftChars="0" w:firstLine="0" w:firstLineChars="0"/>
        <w:jc w:val="left"/>
        <w:rPr>
          <w:rFonts w:hint="eastAsia" w:ascii="Times New Roman" w:hAnsi="Times New Roman" w:eastAsia="黑体" w:cs="Times New Roman"/>
          <w:bCs/>
          <w:i/>
          <w:iCs/>
          <w:color w:val="0070C0"/>
          <w:kern w:val="44"/>
          <w:sz w:val="24"/>
          <w:szCs w:val="24"/>
          <w:lang w:val="zh-CN" w:eastAsia="en-US" w:bidi="ar-SA"/>
        </w:rPr>
      </w:pPr>
    </w:p>
    <w:p>
      <w:pPr>
        <w:pStyle w:val="2"/>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FAA0CDE"/>
    <w:rsid w:val="72443B3D"/>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2023-06-26T09:44:31Z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