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0B5FD1"/>
          <w:lang w:val="en-US" w:eastAsia="zh-CN"/>
        </w:rPr>
      </w:pPr>
    </w:p>
    <w:tbl>
      <w:tblPr>
        <w:tblStyle w:val="6"/>
        <w:tblpPr w:leftFromText="180" w:rightFromText="180" w:vertAnchor="text" w:horzAnchor="page" w:tblpX="1787" w:tblpY="3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6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标准编号</w:t>
            </w:r>
          </w:p>
        </w:tc>
        <w:tc>
          <w:tcPr>
            <w:tcW w:w="64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GB 9706.1—2020 </w:t>
            </w:r>
          </w:p>
        </w:tc>
        <w:tc>
          <w:tcPr>
            <w:tcW w:w="64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《医用电气设备 第1部分：安全通用要求》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YY 9706.102-2021</w:t>
            </w:r>
          </w:p>
        </w:tc>
        <w:tc>
          <w:tcPr>
            <w:tcW w:w="64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《医用电气设备 第1-2部分：安全通用要求并列标准：电磁兼容要求和试验》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YY 9706.108-2021</w:t>
            </w:r>
          </w:p>
        </w:tc>
        <w:tc>
          <w:tcPr>
            <w:tcW w:w="64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《医用电气设备 第1-8部分：安全通用要求 并列标准：通用要求，医用电气设备和医用电气系统中报警系统的测试和指南》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GB/T 16886.1-2022</w:t>
            </w:r>
          </w:p>
        </w:tc>
        <w:tc>
          <w:tcPr>
            <w:tcW w:w="64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医疗器械生物学评价 第1部分：风险管理过程中的评价与试验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GB/T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16886.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-2017</w:t>
            </w:r>
          </w:p>
        </w:tc>
        <w:tc>
          <w:tcPr>
            <w:tcW w:w="64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医疗器械生物学评价 第5部分：体外细胞毒性试验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GB/T 16886.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-2017</w:t>
            </w:r>
          </w:p>
        </w:tc>
        <w:tc>
          <w:tcPr>
            <w:tcW w:w="646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医疗器械生物学评价 第10部分：刺激与皮肤致敏试验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YY/T 0664-2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020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医疗器械软件 软件生存周期过程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YY/T 1474-2016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医疗器械 可用性工程对医疗器械的应用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YY/T 0466.1-2016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医疗器械用于医疗器械标签、标记和提供信息的符号第1部分：通用要求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YY/T 0316-2016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医疗器械风险管理对医疗器械的应用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XXX标准编号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de-DE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XXX标准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</w:tr>
    </w:tbl>
    <w:p>
      <w:pPr>
        <w:pStyle w:val="2"/>
        <w:rPr>
          <w:rFonts w:hint="eastAsia"/>
          <w:color w:val="0B5FD1"/>
          <w:lang w:val="en-US" w:eastAsia="zh-CN"/>
        </w:rPr>
      </w:pPr>
    </w:p>
    <w:p>
      <w:pPr>
        <w:overflowPunct w:val="0"/>
        <w:spacing w:line="300" w:lineRule="exact"/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  <w:t>【对于所有适用的强制性标准，均提供符合强制性标准的证明资料。</w:t>
      </w:r>
    </w:p>
    <w:p>
      <w:pPr>
        <w:overflowPunct w:val="0"/>
        <w:spacing w:line="300" w:lineRule="exact"/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</w:pPr>
    </w:p>
    <w:p>
      <w:pPr>
        <w:overflowPunct w:val="0"/>
        <w:spacing w:line="300" w:lineRule="exact"/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  <w:t>注1：证明资料可为检测报告、研究资料、随附文件等。注意核实是否涵盖所有适用强制性标准，对引用标准的内容完整性，立卷无需逐条核实。</w:t>
      </w:r>
    </w:p>
    <w:p>
      <w:pPr>
        <w:pStyle w:val="2"/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  <w:t>注2：除在发布、实施标准文件中另有规定外，新标准实施之日在注册申报之后的，立卷审查不作要求。】</w:t>
      </w:r>
    </w:p>
    <w:p>
      <w:pPr>
        <w:pStyle w:val="2"/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</w:pPr>
    </w:p>
    <w:p>
      <w:pPr>
        <w:overflowPunct w:val="0"/>
        <w:spacing w:line="300" w:lineRule="exact"/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  <w:t>【对于强制性行业标准，若申报产品结构特征、预期用途、使用方式等与强制性标准的适用范围不一致，申请人应当提出不适用强制性标准的说明，并提供经验证的证明性资料。</w:t>
      </w:r>
    </w:p>
    <w:p>
      <w:pPr>
        <w:overflowPunct w:val="0"/>
        <w:spacing w:line="300" w:lineRule="exact"/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0"/>
          <w:sz w:val="24"/>
          <w:szCs w:val="24"/>
          <w:lang w:val="en-US" w:eastAsia="zh-CN" w:bidi="ar-SA"/>
        </w:rPr>
        <w:t>注：仅对是否提交了相关资料进行审查，不适用判定的准确性及相关资料的充分性、科学性不予审查。】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9CF1FD9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2023-06-26T09:32:07Z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