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非临床研究资料目录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{此处放入非临床研究资料目录}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R。如不适用，可以不提供该资料】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color w:val="0B5FD1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（以下为参考案例：</w:t>
      </w:r>
      <w:r>
        <w:rPr>
          <w:rFonts w:hint="eastAsia"/>
          <w:color w:val="0B5FD1"/>
          <w:lang w:val="en-US" w:eastAsia="zh-CN"/>
        </w:rPr>
        <w:t>）</w:t>
      </w:r>
    </w:p>
    <w:p>
      <w:pPr>
        <w:pStyle w:val="2"/>
        <w:rPr>
          <w:rFonts w:hint="eastAsia"/>
          <w:color w:val="0B5FD1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93"/>
        <w:gridCol w:w="541"/>
        <w:gridCol w:w="1242"/>
        <w:gridCol w:w="1716"/>
        <w:gridCol w:w="1762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tblHeader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RPS目录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标题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适用情况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上传文件名称</w:t>
            </w:r>
          </w:p>
        </w:tc>
        <w:tc>
          <w:tcPr>
            <w:tcW w:w="0" w:type="auto"/>
            <w:gridSpan w:val="2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上传文件页码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CR目录是否适用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起始页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结束页</w:t>
            </w: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0" w:type="auto"/>
            <w:gridSpan w:val="7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第3章——非临床研究资料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章节目录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非临床研究资料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章节目录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CH3.1-1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风险管理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产品风险分析资料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CH3.2-1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CH3.2-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CH3.3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安全有效性基本要求（EP）清单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安全有效性基本要求（EP）清单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CH3.3-1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CH3.3-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标准</w:t>
            </w:r>
          </w:p>
        </w:tc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该级标题无内容。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CH3.4.1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标准列表（产品技术要求）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产品技术要求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(通用版)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CH3.4.1-1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</w:rPr>
              <w:t>产品技术要求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(独立软件产品适用)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CH3.4.1-1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CH3.4.2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符合性声明和/或认证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注册检测报告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CH3.4.2(1)-1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CH3.4.2(1)-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预评价意见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CH3.4.2(2)-1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CH3.4.2(2)-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EMC检测报告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CH3.4.2(3)-1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CH3.4.2(3)-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注册检验样品整改一致性确认表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CH3.4.2(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)-1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CH3.4.2(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)-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非临床研究</w:t>
            </w:r>
          </w:p>
        </w:tc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该级标题无内容，在下级标题中提交资料。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.01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物理和机械性能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物理和机械性能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研究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CH3.5.0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CH3.5.0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化学/材料表征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化学/材料表征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研究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CH3.5.02-1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CH3.5.02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CH3.5.03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电气系统：安全、机械和环境保护以及电磁兼容性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电气系统安全、机械和环境保护以及电磁兼容性研究资料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CH3.5.03-1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CH3.5.03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辐射安全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辐射安全性能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研究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CH3.5.04-1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CH3.5.04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84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独立软件/软件组件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gridSpan w:val="4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该级标题无内容，在下级标题中提交资料。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独立软件/软件组件描述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独立软件/软件组件描述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文档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05.01-1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危害分析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软件风险分析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05.02-1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05.02-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CH3.5.05.03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软件需求规范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软件需求规范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05.03-1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05.03-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体系结构图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体系结构图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05.04-1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05.04-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软件设计规范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软件设计规范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05.05-1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05.05-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CH3.5.05.06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可追溯性分析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可追溯性分析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05.06-1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05.06-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CH3.5.05.07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软件生存周期过程描述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软件生存周期过程描述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05.07-1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05.07-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附录1 YY/T 0664符合性报告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05.07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05.07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CH3.5.05.08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软件验证与确认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集成测试计划和报告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05.08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05.08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系统测试计划和报告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05.08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05.08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用户测试的计划和报告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05.08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(3)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05.08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(3)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CH3.5.05.09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版本更新历史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版本更新历史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05.09(1)-1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05.09(1)-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软件版本命名规则真实性声明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05.09(2)-1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05.09(2)-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CH3.5.05.10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剩余缺陷（错误、故障）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剩余缺陷（错误、故障）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05.10-1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05.10-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CH3.5.05.11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网络安全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 xml:space="preserve"> 网络安全研究资料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05.11-1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05.11-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CH3.5.05.12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互操作性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互操作性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05.1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05.1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CH3.5.06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生物相容性和毒理学评价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>生物学评价研究资料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>CH3.5.06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>CH3.5.06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>附件：生物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  <w:lang w:eastAsia="zh-CN"/>
              </w:rPr>
              <w:t>相容性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>测试报告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>CH3.5.06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>CH3.5.06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非材料介导的热原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非材料介导的热原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研究资料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05.7-1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05.7-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生物来源（人类/动物）材料的安全性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生物来源（人类/动物）材料的安全性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  <w:lang w:eastAsia="zh-CN"/>
              </w:rPr>
              <w:t>研究资料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CH3.5.08.1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证书/认证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生物来源（人类/动物）材料证书/认证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8.1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05.</w:t>
            </w:r>
            <w:r>
              <w:rPr>
                <w:rFonts w:hint="eastAsia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8.1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CH3.5.09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灭菌确认</w:t>
            </w:r>
          </w:p>
        </w:tc>
        <w:tc>
          <w:tcPr>
            <w:tcW w:w="0" w:type="auto"/>
            <w:gridSpan w:val="5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该级标题无内容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CH3.5.09.1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最终使用者灭菌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最终使用者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灭菌确认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09.1-1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09.1-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CH3.5.09.2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生产企业灭菌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生产企业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灭菌确认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09.2-1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09.2-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CH3.5.09.3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残留毒性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残留毒性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研究资料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09.3-1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</w:rPr>
              <w:t>CH3.5.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highlight w:val="none"/>
                <w:lang w:val="en-US" w:eastAsia="zh-CN"/>
              </w:rPr>
              <w:t>09.3-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CH3.5.09.4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清洁和消毒确认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lang w:eastAsia="zh-CN"/>
              </w:rPr>
              <w:t>消毒确认资料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CH3.5.09.4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CH3.5.09.4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CH3.5.09.5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可重复使用器械再处理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可重复使用器械再处理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研究资料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CH3.5.09.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5-1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CH3.5.09.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5-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CH3.5.10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动物试验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临床前动物试验研究资料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10-1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10-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CH3.5.11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可用性/人为因素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可用性研究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eastAsia="zh-CN"/>
              </w:rPr>
              <w:t>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11-1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1-1 人因设计研究报告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(1-1)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(1-1)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1-2 使用风险评估报告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(1-2)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(1-2)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eastAsia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eastAsia="zh-CN"/>
              </w:rPr>
              <w:t>附件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2 用户培训方案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CH3.5.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highlight w:val="none"/>
              </w:rPr>
              <w:t>CH3.6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非临床研究文献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非临床研究文献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6-1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6-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CH3.7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货架寿命和包装验证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gridSpan w:val="4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该级标题无内容，在下级标题中提交资料。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CH3.7.1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产品稳定性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有效期验证报告(有源)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CH3.7.1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CH3.7.1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有效期验证报告(无菌)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CH3.7.1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CH3.7.1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CH3.7.2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包装验证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  <w:t>使用次数验证资料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  <w:t>有限次重复使用器械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CH3.7.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2(1)-1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CH3.7.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2(1)-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sz w:val="21"/>
                <w:szCs w:val="21"/>
                <w:lang w:eastAsia="zh-CN"/>
              </w:rPr>
              <w:t>包装及包装完整性</w:t>
            </w:r>
            <w:r>
              <w:rPr>
                <w:rFonts w:hint="default" w:ascii="Times New Roman" w:hAnsi="Times New Roman" w:cs="Times New Roman"/>
                <w:color w:val="1D41D5"/>
                <w:sz w:val="21"/>
                <w:szCs w:val="21"/>
                <w:lang w:eastAsia="zh-CN"/>
              </w:rPr>
              <w:t>验证报告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CH3.7.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2(2)-1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CH3.7.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2(2)-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CH3.8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其他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其他非临床研究资料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</w:t>
            </w:r>
            <w:r>
              <w:rPr>
                <w:rFonts w:hint="eastAsia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CH3.</w:t>
            </w:r>
            <w:r>
              <w:rPr>
                <w:rFonts w:hint="eastAsia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</w:tbl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42844B3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2023-06-26T09:29:56Z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