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11"/>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其他申报综述信息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{此处放入其他申报综述信息的内容}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R。如产品不适用，该文档可不提交，如适用，需要提交该文档】</w:t>
      </w:r>
    </w:p>
    <w:p>
      <w:pPr>
        <w:pStyle w:val="11"/>
        <w:rPr>
          <w:rFonts w:hint="eastAsia"/>
          <w:lang w:val="zh-CN"/>
        </w:rPr>
      </w:pPr>
    </w:p>
    <w:p>
      <w:pPr>
        <w:pStyle w:val="11"/>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rPr>
          <w:rFonts w:hint="eastAsia"/>
          <w:color w:val="0B5FD1"/>
          <w:lang w:val="en-US" w:eastAsia="zh-CN"/>
        </w:rPr>
      </w:pPr>
    </w:p>
    <w:p>
      <w:pPr>
        <w:pStyle w:val="11"/>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11"/>
        <w:jc w:val="center"/>
        <w:rPr>
          <w:rFonts w:hint="eastAsia" w:ascii="宋体" w:hAnsi="宋体" w:eastAsia="宋体" w:cs="宋体"/>
          <w:b/>
          <w:bCs/>
          <w:kern w:val="0"/>
          <w:sz w:val="28"/>
          <w:szCs w:val="28"/>
          <w:lang w:val="en-US" w:eastAsia="zh-CN"/>
        </w:rPr>
      </w:pPr>
    </w:p>
    <w:p>
      <w:pPr>
        <w:pStyle w:val="11"/>
        <w:jc w:val="center"/>
        <w:rPr>
          <w:rFonts w:hint="eastAsia" w:ascii="宋体" w:hAnsi="宋体" w:eastAsia="宋体" w:cs="宋体"/>
          <w:b/>
          <w:bCs/>
          <w:kern w:val="0"/>
          <w:sz w:val="28"/>
          <w:szCs w:val="28"/>
          <w:lang w:val="en-US" w:eastAsia="zh-CN"/>
        </w:rPr>
      </w:pPr>
    </w:p>
    <w:p>
      <w:pPr>
        <w:pStyle w:val="11"/>
        <w:jc w:val="center"/>
        <w:rPr>
          <w:rFonts w:hint="eastAsia" w:ascii="宋体" w:hAnsi="宋体" w:eastAsia="宋体" w:cs="宋体"/>
          <w:b/>
          <w:bCs/>
          <w:kern w:val="0"/>
          <w:sz w:val="28"/>
          <w:szCs w:val="28"/>
          <w:lang w:val="en-US" w:eastAsia="zh-CN"/>
        </w:rPr>
      </w:pPr>
    </w:p>
    <w:p>
      <w:pPr>
        <w:pStyle w:val="3"/>
        <w:keepNext/>
        <w:keepLines/>
        <w:pageBreakBefore w:val="0"/>
        <w:widowControl w:val="0"/>
        <w:kinsoku/>
        <w:wordWrap/>
        <w:overflowPunct/>
        <w:topLinePunct w:val="0"/>
        <w:autoSpaceDE/>
        <w:autoSpaceDN/>
        <w:bidi w:val="0"/>
        <w:adjustRightInd/>
        <w:snapToGrid/>
        <w:spacing w:line="420" w:lineRule="auto"/>
        <w:ind w:left="0" w:leftChars="0" w:firstLine="0" w:firstLineChars="0"/>
        <w:textAlignment w:val="auto"/>
        <w:rPr>
          <w:rFonts w:hint="eastAsia" w:ascii="宋体" w:hAnsi="宋体" w:eastAsia="宋体" w:cs="宋体"/>
          <w:b/>
          <w:bCs/>
          <w:kern w:val="0"/>
          <w:sz w:val="28"/>
          <w:szCs w:val="28"/>
          <w:lang w:val="en-US" w:eastAsia="zh-CN"/>
        </w:rPr>
      </w:pPr>
      <w:bookmarkStart w:id="0" w:name="_Toc10675"/>
      <w:r>
        <w:rPr>
          <w:rFonts w:hint="eastAsia"/>
          <w:b/>
          <w:sz w:val="28"/>
          <w:szCs w:val="28"/>
          <w:lang w:val="en-US" w:eastAsia="zh-CN"/>
        </w:rPr>
        <w:t>1</w:t>
      </w:r>
      <w:r>
        <w:rPr>
          <w:rFonts w:hint="eastAsia"/>
          <w:b/>
          <w:sz w:val="28"/>
          <w:szCs w:val="28"/>
        </w:rPr>
        <w:t xml:space="preserve">. </w:t>
      </w:r>
      <w:r>
        <w:rPr>
          <w:b/>
          <w:sz w:val="28"/>
          <w:szCs w:val="28"/>
        </w:rPr>
        <w:t>其他需说明的内容</w:t>
      </w:r>
      <w:bookmarkEnd w:id="0"/>
    </w:p>
    <w:p>
      <w:pPr>
        <w:pStyle w:val="4"/>
        <w:ind w:left="0" w:leftChars="0"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 已获得批准的部件或配合使用的附件的批准文号列表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{此处放入已获得批准的部件或配合使用的附件的批准文号列表的内容}</w:t>
      </w:r>
    </w:p>
    <w:p>
      <w:pPr>
        <w:pStyle w:val="2"/>
        <w:jc w:val="left"/>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报产品的部件或配合使用的附件本身是作为医疗器械等监管，需要清晰列明这些部件及附件，并说明是否已经获得上市批准，对于已经上市批准的部件或附件需要提供相应的批准文号，以及批准文件复印件等资料】</w:t>
      </w:r>
    </w:p>
    <w:p>
      <w:pPr>
        <w:pStyle w:val="11"/>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(以下表格供参考：</w:t>
      </w:r>
    </w:p>
    <w:tbl>
      <w:tblPr>
        <w:tblStyle w:val="8"/>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832"/>
        <w:gridCol w:w="2600"/>
        <w:gridCol w:w="260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序号</w:t>
            </w:r>
          </w:p>
        </w:tc>
        <w:tc>
          <w:tcPr>
            <w:tcW w:w="1832"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部件或配件名称</w:t>
            </w:r>
          </w:p>
        </w:tc>
        <w:tc>
          <w:tcPr>
            <w:tcW w:w="2600"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是否获得上市批准</w:t>
            </w:r>
          </w:p>
        </w:tc>
        <w:tc>
          <w:tcPr>
            <w:tcW w:w="2600"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批准文号(如注册证编号或备案编号）</w:t>
            </w:r>
          </w:p>
        </w:tc>
        <w:tc>
          <w:tcPr>
            <w:tcW w:w="921"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1</w:t>
            </w:r>
          </w:p>
        </w:tc>
        <w:tc>
          <w:tcPr>
            <w:tcW w:w="1832"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湿化器</w:t>
            </w:r>
          </w:p>
        </w:tc>
        <w:tc>
          <w:tcPr>
            <w:tcW w:w="2600"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是</w:t>
            </w:r>
          </w:p>
        </w:tc>
        <w:tc>
          <w:tcPr>
            <w:tcW w:w="2600"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X械注准20XXXXXXXXX</w:t>
            </w:r>
          </w:p>
        </w:tc>
        <w:tc>
          <w:tcPr>
            <w:tcW w:w="921" w:type="dxa"/>
            <w:noWrap w:val="0"/>
            <w:vAlign w:val="top"/>
          </w:tcPr>
          <w:p>
            <w:pPr>
              <w:pStyle w:val="11"/>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2</w:t>
            </w:r>
          </w:p>
        </w:tc>
        <w:tc>
          <w:tcPr>
            <w:tcW w:w="1832"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X</w:t>
            </w:r>
          </w:p>
        </w:tc>
        <w:tc>
          <w:tcPr>
            <w:tcW w:w="2600"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X</w:t>
            </w:r>
          </w:p>
        </w:tc>
        <w:tc>
          <w:tcPr>
            <w:tcW w:w="2600"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X</w:t>
            </w:r>
          </w:p>
        </w:tc>
        <w:tc>
          <w:tcPr>
            <w:tcW w:w="921" w:type="dxa"/>
            <w:noWrap w:val="0"/>
            <w:vAlign w:val="top"/>
          </w:tcPr>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X</w:t>
            </w:r>
          </w:p>
        </w:tc>
      </w:tr>
    </w:tbl>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w:t>
      </w:r>
    </w:p>
    <w:p>
      <w:pPr>
        <w:pStyle w:val="4"/>
        <w:ind w:left="0" w:leftChars="0" w:firstLine="0" w:firstLineChars="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2.已获批</w:t>
      </w:r>
      <w:r>
        <w:rPr>
          <w:rFonts w:ascii="宋体" w:hAnsi="宋体" w:eastAsia="宋体"/>
          <w:sz w:val="24"/>
          <w:szCs w:val="24"/>
        </w:rPr>
        <w:t>部件</w:t>
      </w:r>
      <w:r>
        <w:rPr>
          <w:rFonts w:hint="eastAsia" w:ascii="宋体" w:hAnsi="宋体" w:eastAsia="宋体"/>
          <w:sz w:val="24"/>
          <w:szCs w:val="24"/>
          <w:lang w:eastAsia="zh-CN"/>
        </w:rPr>
        <w:t>或附件批准文件</w:t>
      </w:r>
      <w:r>
        <w:rPr>
          <w:rFonts w:ascii="宋体" w:hAnsi="宋体" w:eastAsia="宋体"/>
          <w:sz w:val="24"/>
          <w:szCs w:val="24"/>
        </w:rPr>
        <w:t>复印件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{此处放入已获得批准的部件或配合使用的附件的批准文件复印件}</w:t>
      </w:r>
    </w:p>
    <w:p>
      <w:pPr>
        <w:pStyle w:val="11"/>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(以下内容供参考：</w:t>
      </w:r>
    </w:p>
    <w:p/>
    <w:p>
      <w:pPr>
        <w:numPr>
          <w:ilvl w:val="0"/>
          <w:numId w:val="1"/>
        </w:numPr>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湿化器</w:t>
      </w:r>
    </w:p>
    <w:p>
      <w:pPr>
        <w:numPr>
          <w:ilvl w:val="0"/>
          <w:numId w:val="0"/>
        </w:numPr>
        <w:jc w:val="center"/>
        <w:rPr>
          <w:rFonts w:hint="eastAsia" w:ascii="Times New Roman" w:hAnsi="Times New Roman" w:cs="Times New Roman"/>
          <w:color w:val="0000FF"/>
          <w:sz w:val="21"/>
          <w:szCs w:val="21"/>
          <w:lang w:val="en-US" w:eastAsia="zh-CN"/>
        </w:rPr>
      </w:pPr>
      <w:r>
        <w:rPr>
          <w:rFonts w:hint="eastAsia" w:ascii="Times New Roman" w:hAnsi="Times New Roman" w:cs="Times New Roman"/>
          <w:b w:val="0"/>
          <w:bCs w:val="0"/>
          <w:color w:val="0000FF"/>
          <w:sz w:val="21"/>
          <w:szCs w:val="21"/>
          <w:lang w:val="en-US" w:eastAsia="zh-CN"/>
        </w:rPr>
        <w:t>附录1</w:t>
      </w:r>
    </w:p>
    <w:p>
      <w:pPr>
        <w:pStyle w:val="2"/>
        <w:rPr>
          <w:rFonts w:hint="default" w:ascii="Times New Roman" w:hAnsi="Times New Roman" w:cs="Times New Roman"/>
          <w:b w:val="0"/>
          <w:bCs w:val="0"/>
          <w:color w:val="0000FF"/>
          <w:sz w:val="21"/>
          <w:szCs w:val="21"/>
          <w:lang w:val="en-US" w:eastAsia="zh-CN"/>
        </w:rPr>
      </w:pPr>
    </w:p>
    <w:p>
      <w:pPr>
        <w:rPr>
          <w:rFonts w:hint="default"/>
          <w:lang w:val="en-US" w:eastAsia="zh-CN"/>
        </w:rPr>
      </w:pPr>
      <w:r>
        <w:rPr>
          <w:rFonts w:hint="default"/>
          <w:lang w:val="en-US" w:eastAsia="zh-CN"/>
        </w:rPr>
        <w:drawing>
          <wp:inline distT="0" distB="0" distL="114300" distR="114300">
            <wp:extent cx="4506595" cy="6218555"/>
            <wp:effectExtent l="0" t="0" r="8255" b="10795"/>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6"/>
                    <a:stretch>
                      <a:fillRect/>
                    </a:stretch>
                  </pic:blipFill>
                  <pic:spPr>
                    <a:xfrm>
                      <a:off x="0" y="0"/>
                      <a:ext cx="4506595" cy="6218555"/>
                    </a:xfrm>
                    <a:prstGeom prst="rect">
                      <a:avLst/>
                    </a:prstGeom>
                    <a:noFill/>
                    <a:ln>
                      <a:noFill/>
                    </a:ln>
                  </pic:spPr>
                </pic:pic>
              </a:graphicData>
            </a:graphic>
          </wp:inline>
        </w:drawing>
      </w:r>
    </w:p>
    <w:p>
      <w:pPr>
        <w:rPr>
          <w:rFonts w:hint="eastAsia"/>
          <w:lang w:val="en-US" w:eastAsia="zh-CN"/>
        </w:rPr>
      </w:pPr>
    </w:p>
    <w:p>
      <w:pPr>
        <w:numPr>
          <w:ilvl w:val="0"/>
          <w:numId w:val="1"/>
        </w:numPr>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XX部件或附件(部件或附件名称)</w:t>
      </w:r>
    </w:p>
    <w:p>
      <w:pPr>
        <w:numPr>
          <w:ilvl w:val="0"/>
          <w:numId w:val="0"/>
        </w:numPr>
        <w:jc w:val="center"/>
        <w:rPr>
          <w:rFonts w:hint="eastAsia" w:ascii="Times New Roman" w:hAnsi="Times New Roman" w:cs="Times New Roman"/>
          <w:color w:val="0000FF"/>
          <w:sz w:val="21"/>
          <w:szCs w:val="21"/>
          <w:lang w:val="en-US" w:eastAsia="zh-CN"/>
        </w:rPr>
      </w:pPr>
      <w:bookmarkStart w:id="1" w:name="_GoBack"/>
      <w:bookmarkEnd w:id="1"/>
      <w:r>
        <w:rPr>
          <w:rFonts w:hint="eastAsia" w:ascii="Times New Roman" w:hAnsi="Times New Roman" w:cs="Times New Roman"/>
          <w:b w:val="0"/>
          <w:bCs w:val="0"/>
          <w:color w:val="0000FF"/>
          <w:sz w:val="21"/>
          <w:szCs w:val="21"/>
          <w:lang w:val="en-US" w:eastAsia="zh-CN"/>
        </w:rPr>
        <w:t>附录X</w:t>
      </w:r>
    </w:p>
    <w:p>
      <w:pPr>
        <w:rPr>
          <w:rFonts w:hint="eastAsia"/>
          <w:lang w:val="en-US" w:eastAsia="zh-CN"/>
        </w:rPr>
      </w:pPr>
    </w:p>
    <w:p>
      <w:pPr>
        <w:pStyle w:val="11"/>
        <w:rPr>
          <w:rFonts w:hint="eastAsia"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pStyle w:val="4"/>
        <w:ind w:left="0" w:leftChars="0"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1.3预期与其他医疗器械或通用产品组合使用说明</w:t>
      </w:r>
    </w:p>
    <w:p>
      <w:pPr>
        <w:pStyle w:val="2"/>
        <w:jc w:val="both"/>
        <w:rPr>
          <w:rFonts w:hint="eastAsia" w:ascii="Times New Roman" w:hAnsi="Times New Roman" w:eastAsia="黑体" w:cs="Times New Roman"/>
          <w:b w:val="0"/>
          <w:bCs/>
          <w:i w:val="0"/>
          <w:iCs w:val="0"/>
          <w:color w:val="auto"/>
          <w:kern w:val="44"/>
          <w:sz w:val="21"/>
          <w:szCs w:val="21"/>
          <w:lang w:val="en-US" w:eastAsia="zh-CN" w:bidi="ar-SA"/>
        </w:rPr>
      </w:pPr>
      <w:r>
        <w:rPr>
          <w:rFonts w:hint="eastAsia" w:ascii="Times New Roman" w:hAnsi="Times New Roman" w:eastAsia="黑体" w:cs="Times New Roman"/>
          <w:b w:val="0"/>
          <w:bCs/>
          <w:i w:val="0"/>
          <w:iCs w:val="0"/>
          <w:color w:val="auto"/>
          <w:kern w:val="44"/>
          <w:sz w:val="21"/>
          <w:szCs w:val="21"/>
          <w:lang w:val="en-US" w:eastAsia="zh-CN" w:bidi="ar-SA"/>
        </w:rPr>
        <w:t>【本处放入预期与其他医疗器械或通用产品组合使用说明】</w:t>
      </w:r>
    </w:p>
    <w:p>
      <w:pPr>
        <w:pStyle w:val="2"/>
        <w:jc w:val="left"/>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报产品预期与其他医疗器械或通用产品组合使用，需要提供相关的说明，包括但不限于组合使用的有哪些医疗器械或通用产品，如何组合使用，组合使用的目的是什么，等等。根据实际器械不同需要提供的说明不同】</w:t>
      </w:r>
    </w:p>
    <w:p>
      <w:pPr>
        <w:rPr>
          <w:rFonts w:hint="eastAsia"/>
          <w:lang w:val="en-US" w:eastAsia="zh-CN"/>
        </w:rPr>
      </w:pPr>
    </w:p>
    <w:p>
      <w:pPr>
        <w:pStyle w:val="4"/>
        <w:ind w:left="0" w:leftChars="0" w:firstLine="0" w:firstLine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1.4 系统各组合医疗器械间存在的物理、电气等连接方式</w:t>
      </w:r>
    </w:p>
    <w:p>
      <w:pPr>
        <w:pStyle w:val="2"/>
        <w:jc w:val="both"/>
        <w:rPr>
          <w:rFonts w:hint="eastAsia" w:ascii="Times New Roman" w:hAnsi="Times New Roman" w:eastAsia="黑体" w:cs="Times New Roman"/>
          <w:b w:val="0"/>
          <w:bCs/>
          <w:i w:val="0"/>
          <w:iCs w:val="0"/>
          <w:color w:val="auto"/>
          <w:kern w:val="44"/>
          <w:sz w:val="21"/>
          <w:szCs w:val="21"/>
          <w:lang w:val="en-US" w:eastAsia="zh-CN" w:bidi="ar-SA"/>
        </w:rPr>
      </w:pPr>
      <w:r>
        <w:rPr>
          <w:rFonts w:hint="eastAsia" w:ascii="Times New Roman" w:hAnsi="Times New Roman" w:eastAsia="黑体" w:cs="Times New Roman"/>
          <w:b w:val="0"/>
          <w:bCs/>
          <w:i w:val="0"/>
          <w:iCs w:val="0"/>
          <w:color w:val="auto"/>
          <w:kern w:val="44"/>
          <w:sz w:val="21"/>
          <w:szCs w:val="21"/>
          <w:lang w:val="en-US" w:eastAsia="zh-CN" w:bidi="ar-SA"/>
        </w:rPr>
        <w:t>【本处放入系统各组合医疗器械间存在的物理、电气等连接方式的说明】</w:t>
      </w:r>
    </w:p>
    <w:p>
      <w:pPr>
        <w:pStyle w:val="2"/>
        <w:jc w:val="left"/>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【如申报产品属于系统，有各组合的医疗器械，需要描述这些组合的医疗器械之间存在的物理、电气等连接方式，如可以，尽量提供相关的图示。根据实际器械不同需要提供的说明不同】</w:t>
      </w:r>
    </w:p>
    <w:p>
      <w:pPr>
        <w:pStyle w:val="11"/>
        <w:jc w:val="both"/>
        <w:rPr>
          <w:rFonts w:hint="eastAsia" w:ascii="宋体" w:hAnsi="宋体" w:eastAsia="宋体" w:cs="宋体"/>
          <w:b/>
          <w:bCs/>
          <w:kern w:val="0"/>
          <w:sz w:val="28"/>
          <w:szCs w:val="28"/>
          <w:lang w:val="en-US" w:eastAsia="zh-CN"/>
        </w:rPr>
      </w:pPr>
    </w:p>
    <w:p>
      <w:pPr>
        <w:pStyle w:val="11"/>
        <w:jc w:val="center"/>
        <w:rPr>
          <w:rFonts w:hint="eastAsia" w:ascii="宋体" w:hAnsi="宋体" w:eastAsia="宋体" w:cs="宋体"/>
          <w:b/>
          <w:bCs/>
          <w:kern w:val="0"/>
          <w:sz w:val="28"/>
          <w:szCs w:val="28"/>
          <w:lang w:val="en-US" w:eastAsia="zh-CN"/>
        </w:rPr>
      </w:pPr>
    </w:p>
    <w:p>
      <w:pPr>
        <w:pStyle w:val="11"/>
        <w:jc w:val="center"/>
        <w:rPr>
          <w:rFonts w:hint="eastAsia" w:ascii="宋体" w:hAnsi="宋体" w:eastAsia="宋体" w:cs="宋体"/>
          <w:b/>
          <w:bCs/>
          <w:kern w:val="0"/>
          <w:sz w:val="28"/>
          <w:szCs w:val="28"/>
          <w:lang w:val="en-US" w:eastAsia="zh-CN"/>
        </w:rPr>
      </w:pPr>
    </w:p>
    <w:p>
      <w:pPr>
        <w:pStyle w:val="11"/>
        <w:jc w:val="center"/>
        <w:rPr>
          <w:rFonts w:hint="eastAsia" w:ascii="宋体" w:hAnsi="宋体" w:eastAsia="宋体" w:cs="宋体"/>
          <w:b/>
          <w:bCs/>
          <w:kern w:val="0"/>
          <w:sz w:val="28"/>
          <w:szCs w:val="28"/>
          <w:lang w:val="en-US" w:eastAsia="zh-CN"/>
        </w:rPr>
      </w:pPr>
    </w:p>
    <w:p>
      <w:pPr>
        <w:pStyle w:val="11"/>
        <w:jc w:val="both"/>
        <w:rPr>
          <w:rFonts w:hint="eastAsia" w:ascii="宋体" w:hAnsi="宋体" w:eastAsia="宋体" w:cs="宋体"/>
          <w:b/>
          <w:bCs/>
          <w:kern w:val="0"/>
          <w:sz w:val="28"/>
          <w:szCs w:val="28"/>
          <w:lang w:val="en-US" w:eastAsia="zh-CN"/>
        </w:rPr>
      </w:pPr>
    </w:p>
    <w:p>
      <w:pPr>
        <w:pStyle w:val="11"/>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095D3"/>
    <w:multiLevelType w:val="singleLevel"/>
    <w:tmpl w:val="12C095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E3A5E7E"/>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basedOn w:val="9"/>
    <w:uiPriority w:val="0"/>
    <w:rPr>
      <w:color w:val="0000FF"/>
      <w:u w:val="single"/>
    </w:rPr>
  </w:style>
  <w:style w:type="paragraph" w:customStyle="1" w:styleId="11">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2023-06-26T09:27:53Z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