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r>
        <w:rPr>
          <w:rFonts w:hint="eastAsia" w:eastAsia="黑体"/>
          <w:b/>
          <w:bCs w:val="0"/>
          <w:kern w:val="44"/>
          <w:sz w:val="32"/>
          <w:szCs w:val="44"/>
          <w:lang w:val="en-US" w:eastAsia="zh-CN"/>
        </w:rPr>
        <w:t>销售、不良事件及召回率</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{此处放入销售、不良事件及召回率的内容}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R。如产品不适用，该文档可不提交，如适用，需要提交该文档】</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both"/>
        <w:rPr>
          <w:rFonts w:hint="eastAsia" w:ascii="宋体" w:hAnsi="宋体" w:eastAsia="宋体" w:cs="宋体"/>
          <w:b/>
          <w:bCs/>
          <w:kern w:val="0"/>
          <w:sz w:val="28"/>
          <w:szCs w:val="28"/>
          <w:lang w:val="en-US" w:eastAsia="zh-CN"/>
        </w:rPr>
      </w:pPr>
      <w:bookmarkStart w:id="0" w:name="_GoBack"/>
      <w:bookmarkEnd w:id="0"/>
    </w:p>
    <w:p>
      <w:pPr>
        <w:keepNext w:val="0"/>
        <w:keepLines w:val="0"/>
        <w:pageBreakBefore w:val="0"/>
        <w:widowControl w:val="0"/>
        <w:numPr>
          <w:ilvl w:val="0"/>
          <w:numId w:val="1"/>
        </w:numPr>
        <w:kinsoku/>
        <w:wordWrap/>
        <w:topLinePunct w:val="0"/>
        <w:autoSpaceDE/>
        <w:autoSpaceDN/>
        <w:bidi w:val="0"/>
        <w:adjustRightInd/>
        <w:snapToGrid/>
        <w:spacing w:line="240" w:lineRule="auto"/>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销售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{此处放入销售的内容}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【针对已经在国内外上市的申报器械，需要提供在已上市的国家销售的相关信息及情况，比如销售的产品名称、型号、销售地区、销售数量、销售年份月份等】</w:t>
      </w:r>
    </w:p>
    <w:p>
      <w:pPr>
        <w:pStyle w:val="2"/>
        <w:rPr>
          <w:rFonts w:hint="default"/>
          <w:color w:val="0000FF"/>
          <w:sz w:val="21"/>
          <w:szCs w:val="21"/>
          <w:lang w:val="en-US" w:eastAsia="zh-CN"/>
        </w:rPr>
      </w:pPr>
      <w:r>
        <w:rPr>
          <w:rFonts w:hint="eastAsia"/>
          <w:color w:val="0000FF"/>
          <w:sz w:val="21"/>
          <w:szCs w:val="21"/>
          <w:lang w:val="en-US" w:eastAsia="zh-CN"/>
        </w:rPr>
        <w:t>(以下表格供参考：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473"/>
        <w:gridCol w:w="1151"/>
        <w:gridCol w:w="1151"/>
        <w:gridCol w:w="1151"/>
        <w:gridCol w:w="878"/>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cs="宋体"/>
                <w:b w:val="0"/>
                <w:bCs w:val="0"/>
                <w:color w:val="0000FF"/>
                <w:kern w:val="0"/>
                <w:sz w:val="21"/>
                <w:szCs w:val="21"/>
                <w:vertAlign w:val="baseline"/>
                <w:lang w:val="en-US" w:eastAsia="zh-CN"/>
              </w:rPr>
            </w:pPr>
            <w:r>
              <w:rPr>
                <w:rFonts w:hint="eastAsia" w:ascii="宋体" w:hAnsi="宋体" w:cs="宋体"/>
                <w:b w:val="0"/>
                <w:bCs w:val="0"/>
                <w:color w:val="0000FF"/>
                <w:kern w:val="0"/>
                <w:sz w:val="21"/>
                <w:szCs w:val="21"/>
                <w:vertAlign w:val="baseline"/>
                <w:lang w:val="en-US" w:eastAsia="zh-CN"/>
              </w:rPr>
              <w:t>编号</w:t>
            </w: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cs="宋体"/>
                <w:b w:val="0"/>
                <w:bCs w:val="0"/>
                <w:color w:val="0000FF"/>
                <w:kern w:val="0"/>
                <w:sz w:val="21"/>
                <w:szCs w:val="21"/>
                <w:vertAlign w:val="baseline"/>
                <w:lang w:val="en-US" w:eastAsia="zh-CN"/>
              </w:rPr>
            </w:pPr>
            <w:r>
              <w:rPr>
                <w:rFonts w:hint="eastAsia" w:ascii="宋体" w:hAnsi="宋体" w:cs="宋体"/>
                <w:b w:val="0"/>
                <w:bCs w:val="0"/>
                <w:color w:val="0000FF"/>
                <w:kern w:val="0"/>
                <w:sz w:val="21"/>
                <w:szCs w:val="21"/>
                <w:vertAlign w:val="baseline"/>
                <w:lang w:val="en-US" w:eastAsia="zh-CN"/>
              </w:rPr>
              <w:t>销售的产品名称</w:t>
            </w: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cs="宋体"/>
                <w:b w:val="0"/>
                <w:bCs w:val="0"/>
                <w:color w:val="0000FF"/>
                <w:kern w:val="0"/>
                <w:sz w:val="21"/>
                <w:szCs w:val="21"/>
                <w:vertAlign w:val="baseline"/>
                <w:lang w:val="en-US" w:eastAsia="zh-CN"/>
              </w:rPr>
            </w:pPr>
            <w:r>
              <w:rPr>
                <w:rFonts w:hint="eastAsia" w:ascii="宋体" w:hAnsi="宋体" w:cs="宋体"/>
                <w:b w:val="0"/>
                <w:bCs w:val="0"/>
                <w:color w:val="0000FF"/>
                <w:kern w:val="0"/>
                <w:sz w:val="21"/>
                <w:szCs w:val="21"/>
                <w:vertAlign w:val="baseline"/>
                <w:lang w:val="en-US" w:eastAsia="zh-CN"/>
              </w:rPr>
              <w:t>销售的产品型号</w:t>
            </w: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cs="宋体"/>
                <w:b w:val="0"/>
                <w:bCs w:val="0"/>
                <w:color w:val="0000FF"/>
                <w:kern w:val="0"/>
                <w:sz w:val="21"/>
                <w:szCs w:val="21"/>
                <w:vertAlign w:val="baseline"/>
                <w:lang w:val="en-US" w:eastAsia="zh-CN"/>
              </w:rPr>
            </w:pPr>
            <w:r>
              <w:rPr>
                <w:rFonts w:hint="eastAsia" w:ascii="宋体" w:hAnsi="宋体" w:cs="宋体"/>
                <w:b w:val="0"/>
                <w:bCs w:val="0"/>
                <w:color w:val="0000FF"/>
                <w:kern w:val="0"/>
                <w:sz w:val="21"/>
                <w:szCs w:val="21"/>
                <w:vertAlign w:val="baseline"/>
                <w:lang w:val="en-US" w:eastAsia="zh-CN"/>
              </w:rPr>
              <w:t>销售地区</w:t>
            </w: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cs="宋体"/>
                <w:b w:val="0"/>
                <w:bCs w:val="0"/>
                <w:color w:val="0000FF"/>
                <w:kern w:val="0"/>
                <w:sz w:val="21"/>
                <w:szCs w:val="21"/>
                <w:vertAlign w:val="baseline"/>
                <w:lang w:val="en-US" w:eastAsia="zh-CN"/>
              </w:rPr>
            </w:pPr>
            <w:r>
              <w:rPr>
                <w:rFonts w:hint="eastAsia" w:ascii="宋体" w:hAnsi="宋体" w:cs="宋体"/>
                <w:b w:val="0"/>
                <w:bCs w:val="0"/>
                <w:color w:val="0000FF"/>
                <w:kern w:val="0"/>
                <w:sz w:val="21"/>
                <w:szCs w:val="21"/>
                <w:vertAlign w:val="baseline"/>
                <w:lang w:val="en-US" w:eastAsia="zh-CN"/>
              </w:rPr>
              <w:t>销售数量</w:t>
            </w: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cs="宋体"/>
                <w:b w:val="0"/>
                <w:bCs w:val="0"/>
                <w:color w:val="0000FF"/>
                <w:kern w:val="0"/>
                <w:sz w:val="21"/>
                <w:szCs w:val="21"/>
                <w:vertAlign w:val="baseline"/>
                <w:lang w:val="en-US" w:eastAsia="zh-CN"/>
              </w:rPr>
            </w:pPr>
            <w:r>
              <w:rPr>
                <w:rFonts w:hint="eastAsia" w:ascii="宋体" w:hAnsi="宋体" w:cs="宋体"/>
                <w:b w:val="0"/>
                <w:bCs w:val="0"/>
                <w:color w:val="0000FF"/>
                <w:kern w:val="0"/>
                <w:sz w:val="21"/>
                <w:szCs w:val="21"/>
                <w:vertAlign w:val="baseline"/>
                <w:lang w:val="en-US" w:eastAsia="zh-CN"/>
              </w:rPr>
              <w:t>销售年份月份</w:t>
            </w: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default"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default"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1</w:t>
            </w: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default"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2</w:t>
            </w: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default"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3</w:t>
            </w: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val="0"/>
                <w:bCs w:val="0"/>
                <w:color w:val="0000FF"/>
                <w:kern w:val="0"/>
                <w:sz w:val="21"/>
                <w:szCs w:val="21"/>
                <w:vertAlign w:val="baseline"/>
                <w:lang w:val="en-US" w:eastAsia="zh-CN"/>
              </w:rPr>
            </w:pPr>
          </w:p>
        </w:tc>
      </w:tr>
    </w:tbl>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color w:val="0000FF"/>
          <w:sz w:val="21"/>
          <w:szCs w:val="21"/>
          <w:lang w:val="en-US" w:eastAsia="zh-CN"/>
        </w:rPr>
      </w:pPr>
      <w:r>
        <w:rPr>
          <w:rFonts w:hint="eastAsia"/>
          <w:color w:val="0000FF"/>
          <w:sz w:val="21"/>
          <w:szCs w:val="21"/>
          <w:lang w:val="en-US" w:eastAsia="zh-CN"/>
        </w:rPr>
        <w:t>)</w:t>
      </w:r>
    </w:p>
    <w:p>
      <w:pPr>
        <w:pStyle w:val="2"/>
        <w:rPr>
          <w:rFonts w:hint="eastAsia"/>
          <w:lang w:val="en-US" w:eastAsia="zh-CN"/>
        </w:rPr>
      </w:pPr>
    </w:p>
    <w:p>
      <w:pPr>
        <w:keepNext w:val="0"/>
        <w:keepLines w:val="0"/>
        <w:pageBreakBefore w:val="0"/>
        <w:widowControl w:val="0"/>
        <w:numPr>
          <w:ilvl w:val="0"/>
          <w:numId w:val="1"/>
        </w:numPr>
        <w:kinsoku/>
        <w:wordWrap/>
        <w:topLinePunct w:val="0"/>
        <w:autoSpaceDE/>
        <w:autoSpaceDN/>
        <w:bidi w:val="0"/>
        <w:adjustRightInd/>
        <w:snapToGrid/>
        <w:spacing w:line="240" w:lineRule="auto"/>
        <w:textAlignment w:val="auto"/>
        <w:rPr>
          <w:rFonts w:hint="default"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不良事件及召回率</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{此处放入不良事件及召回率的内容}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【针对已经在国内外上市的申报器械，需要提供在已上市的国家不良事件及召回率的相关信息及数据等】</w:t>
      </w:r>
    </w:p>
    <w:p>
      <w:pPr>
        <w:pStyle w:val="2"/>
        <w:rPr>
          <w:rFonts w:hint="eastAsia"/>
          <w:lang w:val="en-US" w:eastAsia="zh-CN"/>
        </w:rPr>
      </w:pP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【应当提交申报产品近五年在各国家（地区）销售数量的总结，提供在各国家（地区）的不良事件、召回比率，并进行比率计算关键分析。】</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kern w:val="0"/>
          <w:sz w:val="28"/>
          <w:szCs w:val="28"/>
          <w:lang w:val="en-US" w:eastAsia="zh-CN"/>
        </w:rPr>
      </w:pPr>
    </w:p>
    <w:p>
      <w:pPr>
        <w:pStyle w:val="2"/>
        <w:jc w:val="both"/>
        <w:rPr>
          <w:rFonts w:hint="eastAsia" w:ascii="宋体" w:hAnsi="宋体" w:eastAsia="宋体" w:cs="宋体"/>
          <w:b/>
          <w:bCs/>
          <w:kern w:val="0"/>
          <w:sz w:val="28"/>
          <w:szCs w:val="28"/>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E3365"/>
    <w:multiLevelType w:val="singleLevel"/>
    <w:tmpl w:val="0FBE33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1FD154C"/>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2023-06-26T09:26:50Z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