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p>
    <w:p>
      <w:pPr>
        <w:pStyle w:val="2"/>
        <w:rPr>
          <w:rFonts w:hint="eastAsia" w:eastAsia="黑体"/>
          <w:b/>
          <w:bCs w:val="0"/>
          <w:kern w:val="44"/>
          <w:sz w:val="32"/>
          <w:szCs w:val="44"/>
          <w:lang w:val="en-US" w:eastAsia="zh-CN"/>
        </w:rPr>
      </w:pPr>
      <w:bookmarkStart w:id="0" w:name="_GoBack"/>
      <w:bookmarkEnd w:id="0"/>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r>
        <w:rPr>
          <w:rFonts w:hint="eastAsia" w:eastAsia="黑体"/>
          <w:b/>
          <w:bCs w:val="0"/>
          <w:kern w:val="44"/>
          <w:sz w:val="32"/>
          <w:szCs w:val="44"/>
          <w:lang w:val="en-US" w:eastAsia="zh-CN"/>
        </w:rPr>
        <w:t>不良事件和召回</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{此处放入不良事件和召回的内容}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R。如产品不适用，该文档可不提交，如适用，需要提交该文档】</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both"/>
        <w:rPr>
          <w:rFonts w:hint="eastAsia" w:ascii="宋体" w:hAnsi="宋体" w:eastAsia="宋体" w:cs="宋体"/>
          <w:b/>
          <w:bCs/>
          <w:kern w:val="0"/>
          <w:sz w:val="28"/>
          <w:szCs w:val="28"/>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36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不良事件和召回</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lang w:val="en-US" w:eastAsia="zh-CN"/>
        </w:rPr>
      </w:pPr>
      <w:r>
        <w:rPr>
          <w:rFonts w:hint="eastAsia" w:eastAsia="黑体"/>
          <w:bCs/>
          <w:i w:val="0"/>
          <w:iCs w:val="0"/>
          <w:color w:val="auto"/>
          <w:kern w:val="44"/>
          <w:sz w:val="21"/>
          <w:szCs w:val="21"/>
          <w:lang w:val="en-US" w:eastAsia="zh-CN"/>
        </w:rPr>
        <w:t>{此处放入不良事件和召回的内容}</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1.1不良事件</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{此处放入不良事件内容}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针对已经在国内外上市的申报器械，需要提供是否在已上市的国家发生不良事件的相关信息及情况，比如发生了什么不良事件、发生的时间，发生的地点，发生的原因是什么、涉及的产品数量及批号，后续企业的处理，以及相关联的文件、原始记录等】</w:t>
      </w:r>
    </w:p>
    <w:p>
      <w:pPr>
        <w:pStyle w:val="2"/>
        <w:pageBreakBefore w:val="0"/>
        <w:kinsoku/>
        <w:wordWrap/>
        <w:topLinePunct w:val="0"/>
        <w:bidi w:val="0"/>
        <w:snapToGrid/>
        <w:spacing w:line="360" w:lineRule="auto"/>
        <w:textAlignment w:val="auto"/>
        <w:rPr>
          <w:rFonts w:hint="default"/>
          <w:color w:val="0000FF"/>
          <w:sz w:val="21"/>
          <w:szCs w:val="21"/>
          <w:lang w:val="en-US" w:eastAsia="zh-CN"/>
        </w:rPr>
      </w:pPr>
      <w:r>
        <w:rPr>
          <w:rFonts w:hint="eastAsia"/>
          <w:color w:val="0000FF"/>
          <w:sz w:val="21"/>
          <w:szCs w:val="21"/>
          <w:lang w:val="en-US" w:eastAsia="zh-CN"/>
        </w:rPr>
        <w:t>(以下表格供参考：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73"/>
        <w:gridCol w:w="1151"/>
        <w:gridCol w:w="1151"/>
        <w:gridCol w:w="1151"/>
        <w:gridCol w:w="878"/>
        <w:gridCol w:w="106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编号</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不良事件概述</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发生的</w:t>
            </w:r>
            <w:r>
              <w:rPr>
                <w:rFonts w:hint="eastAsia" w:ascii="宋体" w:hAnsi="宋体" w:cs="宋体"/>
                <w:b w:val="0"/>
                <w:bCs w:val="0"/>
                <w:color w:val="0000FF"/>
                <w:kern w:val="0"/>
                <w:sz w:val="21"/>
                <w:szCs w:val="21"/>
                <w:vertAlign w:val="baseline"/>
                <w:lang w:val="en-US" w:eastAsia="zh-CN"/>
              </w:rPr>
              <w:t>时间</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发生的</w:t>
            </w:r>
            <w:r>
              <w:rPr>
                <w:rFonts w:hint="eastAsia" w:ascii="宋体" w:hAnsi="宋体" w:cs="宋体"/>
                <w:b w:val="0"/>
                <w:bCs w:val="0"/>
                <w:color w:val="0000FF"/>
                <w:kern w:val="0"/>
                <w:sz w:val="21"/>
                <w:szCs w:val="21"/>
                <w:vertAlign w:val="baseline"/>
                <w:lang w:val="en-US" w:eastAsia="zh-CN"/>
              </w:rPr>
              <w:t>地点</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发生的原因</w:t>
            </w: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涉及的产品数量及批号</w:t>
            </w: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后续企业的处理</w:t>
            </w: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1</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2</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3</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bl>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lang w:val="en-US" w:eastAsia="zh-CN"/>
        </w:rPr>
      </w:pPr>
      <w:r>
        <w:rPr>
          <w:rFonts w:hint="eastAsia"/>
          <w:color w:val="0000FF"/>
          <w:sz w:val="21"/>
          <w:szCs w:val="21"/>
          <w:lang w:val="en-US" w:eastAsia="zh-CN"/>
        </w:rPr>
        <w:t>)</w:t>
      </w:r>
    </w:p>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lang w:val="en-US" w:eastAsia="zh-CN"/>
        </w:rPr>
        <w:t>1.2召回</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{此处放入召回的内容}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针对已经在国内外上市的申报器械，需要提供是否在已上市的国家发生召回的相关信息及情况，比如发生了什么召回、发生的时间，发生的地点，发生的原因是什么、涉及的产品数量及批号，后续企业的处理，以及相关联的文件、原始记录等】</w:t>
      </w:r>
    </w:p>
    <w:p>
      <w:pPr>
        <w:pStyle w:val="2"/>
        <w:pageBreakBefore w:val="0"/>
        <w:kinsoku/>
        <w:wordWrap/>
        <w:topLinePunct w:val="0"/>
        <w:bidi w:val="0"/>
        <w:snapToGrid/>
        <w:spacing w:line="360" w:lineRule="auto"/>
        <w:textAlignment w:val="auto"/>
        <w:rPr>
          <w:rFonts w:hint="default"/>
          <w:color w:val="0000FF"/>
          <w:sz w:val="21"/>
          <w:szCs w:val="21"/>
          <w:lang w:val="en-US" w:eastAsia="zh-CN"/>
        </w:rPr>
      </w:pPr>
      <w:r>
        <w:rPr>
          <w:rFonts w:hint="eastAsia"/>
          <w:color w:val="0000FF"/>
          <w:sz w:val="21"/>
          <w:szCs w:val="21"/>
          <w:lang w:val="en-US" w:eastAsia="zh-CN"/>
        </w:rPr>
        <w:t>(以下表格供参考：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73"/>
        <w:gridCol w:w="1151"/>
        <w:gridCol w:w="1151"/>
        <w:gridCol w:w="1151"/>
        <w:gridCol w:w="878"/>
        <w:gridCol w:w="106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编号</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召回</w:t>
            </w:r>
            <w:r>
              <w:rPr>
                <w:rFonts w:hint="eastAsia" w:ascii="宋体" w:hAnsi="宋体" w:eastAsia="宋体" w:cs="宋体"/>
                <w:b w:val="0"/>
                <w:bCs w:val="0"/>
                <w:color w:val="0000FF"/>
                <w:kern w:val="0"/>
                <w:sz w:val="21"/>
                <w:szCs w:val="21"/>
                <w:vertAlign w:val="baseline"/>
                <w:lang w:val="en-US" w:eastAsia="zh-CN"/>
              </w:rPr>
              <w:t>事件概述</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发生的</w:t>
            </w:r>
            <w:r>
              <w:rPr>
                <w:rFonts w:hint="eastAsia" w:ascii="宋体" w:hAnsi="宋体" w:cs="宋体"/>
                <w:b w:val="0"/>
                <w:bCs w:val="0"/>
                <w:color w:val="0000FF"/>
                <w:kern w:val="0"/>
                <w:sz w:val="21"/>
                <w:szCs w:val="21"/>
                <w:vertAlign w:val="baseline"/>
                <w:lang w:val="en-US" w:eastAsia="zh-CN"/>
              </w:rPr>
              <w:t>时间</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发生的</w:t>
            </w:r>
            <w:r>
              <w:rPr>
                <w:rFonts w:hint="eastAsia" w:ascii="宋体" w:hAnsi="宋体" w:cs="宋体"/>
                <w:b w:val="0"/>
                <w:bCs w:val="0"/>
                <w:color w:val="0000FF"/>
                <w:kern w:val="0"/>
                <w:sz w:val="21"/>
                <w:szCs w:val="21"/>
                <w:vertAlign w:val="baseline"/>
                <w:lang w:val="en-US" w:eastAsia="zh-CN"/>
              </w:rPr>
              <w:t>地点</w:t>
            </w: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发生的原因</w:t>
            </w: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涉及的产品数量及批号</w:t>
            </w: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cs="宋体"/>
                <w:b w:val="0"/>
                <w:bCs w:val="0"/>
                <w:color w:val="0000FF"/>
                <w:kern w:val="0"/>
                <w:sz w:val="21"/>
                <w:szCs w:val="21"/>
                <w:vertAlign w:val="baseline"/>
                <w:lang w:val="en-US" w:eastAsia="zh-CN"/>
              </w:rPr>
              <w:t>后续企业的处理</w:t>
            </w: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1</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2</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default" w:ascii="宋体" w:hAnsi="宋体" w:eastAsia="宋体" w:cs="宋体"/>
                <w:b w:val="0"/>
                <w:bCs w:val="0"/>
                <w:color w:val="0000FF"/>
                <w:kern w:val="0"/>
                <w:sz w:val="21"/>
                <w:szCs w:val="21"/>
                <w:vertAlign w:val="baseline"/>
                <w:lang w:val="en-US" w:eastAsia="zh-CN"/>
              </w:rPr>
            </w:pPr>
            <w:r>
              <w:rPr>
                <w:rFonts w:hint="eastAsia" w:ascii="宋体" w:hAnsi="宋体" w:eastAsia="宋体" w:cs="宋体"/>
                <w:b w:val="0"/>
                <w:bCs w:val="0"/>
                <w:color w:val="0000FF"/>
                <w:kern w:val="0"/>
                <w:sz w:val="21"/>
                <w:szCs w:val="21"/>
                <w:vertAlign w:val="baseline"/>
                <w:lang w:val="en-US" w:eastAsia="zh-CN"/>
              </w:rPr>
              <w:t>3</w:t>
            </w: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473"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151"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878"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1060"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c>
          <w:tcPr>
            <w:tcW w:w="775" w:type="dxa"/>
            <w:noWrap w:val="0"/>
            <w:vAlign w:val="top"/>
          </w:tcPr>
          <w:p>
            <w:pPr>
              <w:keepNext w:val="0"/>
              <w:keepLines w:val="0"/>
              <w:pageBreakBefore w:val="0"/>
              <w:widowControl w:val="0"/>
              <w:numPr>
                <w:ilvl w:val="0"/>
                <w:numId w:val="0"/>
              </w:numPr>
              <w:kinsoku/>
              <w:wordWrap/>
              <w:topLinePunct w:val="0"/>
              <w:autoSpaceDE/>
              <w:autoSpaceDN/>
              <w:bidi w:val="0"/>
              <w:adjustRightInd/>
              <w:snapToGrid/>
              <w:spacing w:line="360" w:lineRule="auto"/>
              <w:jc w:val="both"/>
              <w:textAlignment w:val="auto"/>
              <w:rPr>
                <w:rFonts w:hint="eastAsia" w:ascii="宋体" w:hAnsi="宋体" w:eastAsia="宋体" w:cs="宋体"/>
                <w:b w:val="0"/>
                <w:bCs w:val="0"/>
                <w:color w:val="0000FF"/>
                <w:kern w:val="0"/>
                <w:sz w:val="21"/>
                <w:szCs w:val="21"/>
                <w:vertAlign w:val="baseline"/>
                <w:lang w:val="en-US" w:eastAsia="zh-CN"/>
              </w:rPr>
            </w:pPr>
          </w:p>
        </w:tc>
      </w:tr>
    </w:tbl>
    <w:p>
      <w:pPr>
        <w:keepNext w:val="0"/>
        <w:keepLines w:val="0"/>
        <w:pageBreakBefore w:val="0"/>
        <w:widowControl w:val="0"/>
        <w:numPr>
          <w:ilvl w:val="0"/>
          <w:numId w:val="0"/>
        </w:numPr>
        <w:kinsoku/>
        <w:wordWrap/>
        <w:topLinePunct w:val="0"/>
        <w:autoSpaceDE/>
        <w:autoSpaceDN/>
        <w:bidi w:val="0"/>
        <w:adjustRightInd/>
        <w:snapToGrid/>
        <w:spacing w:line="360" w:lineRule="auto"/>
        <w:textAlignment w:val="auto"/>
        <w:rPr>
          <w:rFonts w:hint="eastAsia"/>
          <w:color w:val="0000FF"/>
          <w:sz w:val="21"/>
          <w:szCs w:val="21"/>
          <w:lang w:val="en-US" w:eastAsia="zh-CN"/>
        </w:rPr>
      </w:pPr>
      <w:r>
        <w:rPr>
          <w:rFonts w:hint="eastAsia"/>
          <w:color w:val="0000FF"/>
          <w:sz w:val="21"/>
          <w:szCs w:val="21"/>
          <w:lang w:val="en-US" w:eastAsia="zh-CN"/>
        </w:rPr>
        <w:t>)</w:t>
      </w:r>
    </w:p>
    <w:p>
      <w:pPr>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0070C0"/>
          <w:kern w:val="44"/>
          <w:sz w:val="21"/>
          <w:szCs w:val="21"/>
          <w:lang w:val="en-US" w:eastAsia="zh-CN" w:bidi="ar-SA"/>
        </w:rPr>
      </w:pPr>
    </w:p>
    <w:p>
      <w:pPr>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不良事件和召回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pPr>
        <w:pageBreakBefore w:val="0"/>
        <w:kinsoku/>
        <w:wordWrap/>
        <w:overflowPunct w:val="0"/>
        <w:topLinePunct w:val="0"/>
        <w:bidi w:val="0"/>
        <w:snapToGrid/>
        <w:spacing w:line="360" w:lineRule="auto"/>
        <w:textAlignment w:val="auto"/>
        <w:rPr>
          <w:rFonts w:hint="eastAsia" w:ascii="Times New Roman" w:hAnsi="Times New Roman" w:eastAsia="黑体" w:cs="Times New Roman"/>
          <w:bCs/>
          <w:i/>
          <w:iCs/>
          <w:color w:val="0070C0"/>
          <w:kern w:val="44"/>
          <w:sz w:val="21"/>
          <w:szCs w:val="21"/>
          <w:lang w:val="en-US" w:eastAsia="zh-CN" w:bidi="ar-SA"/>
        </w:rPr>
      </w:pPr>
      <w:r>
        <w:rPr>
          <w:rFonts w:hint="eastAsia" w:ascii="Times New Roman" w:hAnsi="Times New Roman" w:eastAsia="黑体" w:cs="Times New Roman"/>
          <w:bCs/>
          <w:i/>
          <w:iCs/>
          <w:color w:val="0070C0"/>
          <w:kern w:val="44"/>
          <w:sz w:val="21"/>
          <w:szCs w:val="21"/>
          <w:lang w:val="en-US" w:eastAsia="zh-CN" w:bidi="ar-SA"/>
        </w:rPr>
        <w:t>同时，应当对上述不良事件、召回进行分析评价，阐明不良事件、召回发生的原因并对其安全性、有效性的影响予以说明。若不良事件、召回数量大，应当根据事件类型总结每个类型涉及的数量。】</w:t>
      </w: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0899A"/>
    <w:multiLevelType w:val="singleLevel"/>
    <w:tmpl w:val="5C1089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506E7C"/>
    <w:rsid w:val="1E907AE9"/>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uiPriority w:val="0"/>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2023-06-26T09:26:17Z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