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使用禁忌症</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{此处放入使用禁忌症的内容}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ascii="宋体" w:hAnsi="宋体" w:eastAsia="宋体" w:cs="宋体"/>
          <w:b/>
          <w:bCs/>
          <w:kern w:val="0"/>
          <w:sz w:val="28"/>
          <w:szCs w:val="28"/>
          <w:lang w:val="en-US" w:eastAsia="zh-CN"/>
        </w:rPr>
      </w:pPr>
    </w:p>
    <w:p>
      <w:pPr>
        <w:pStyle w:val="2"/>
        <w:rPr>
          <w:rFonts w:hint="eastAsia" w:ascii="宋体" w:hAnsi="宋体" w:eastAsia="宋体" w:cs="宋体"/>
          <w:b/>
          <w:bCs/>
          <w:kern w:val="0"/>
          <w:sz w:val="28"/>
          <w:szCs w:val="28"/>
          <w:lang w:val="en-US" w:eastAsia="zh-CN"/>
        </w:rPr>
      </w:pPr>
    </w:p>
    <w:p>
      <w:pPr>
        <w:pStyle w:val="2"/>
        <w:rPr>
          <w:rFonts w:hint="default" w:ascii="宋体" w:hAnsi="宋体" w:eastAsia="宋体" w:cs="宋体"/>
          <w:b/>
          <w:bCs/>
          <w:kern w:val="0"/>
          <w:sz w:val="28"/>
          <w:szCs w:val="28"/>
          <w:lang w:val="en-US" w:eastAsia="zh-CN"/>
        </w:rPr>
      </w:pPr>
      <w:bookmarkStart w:id="0" w:name="_GoBack"/>
      <w:bookmarkEnd w:id="0"/>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sz w:val="28"/>
          <w:szCs w:val="28"/>
        </w:rPr>
      </w:pPr>
      <w:r>
        <w:rPr>
          <w:rFonts w:hint="eastAsia" w:ascii="宋体" w:hAnsi="宋体" w:eastAsia="宋体" w:cs="宋体"/>
          <w:sz w:val="28"/>
          <w:szCs w:val="28"/>
        </w:rPr>
        <w:t>禁忌症</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{此处放入禁忌症的内容}</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【如无禁忌症，可写无；如有禁忌症，应当明确说明该器械不适宜应用的某些疾病、情况或特定的人群（如儿童、老年人、孕妇及哺乳期妇女、肝肾功能不全者）。</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根据实际的产品不同需要特殊考虑】</w:t>
      </w: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imes New Roman" w:hAnsi="Times New Roman" w:eastAsia="黑体" w:cs="Times New Roman"/>
          <w:bCs/>
          <w:i/>
          <w:iCs/>
          <w:color w:val="0070C0"/>
          <w:kern w:val="44"/>
          <w:sz w:val="21"/>
          <w:szCs w:val="21"/>
          <w:lang w:val="zh-CN"/>
        </w:rPr>
      </w:pPr>
    </w:p>
    <w:p>
      <w:pPr>
        <w:keepNext/>
        <w:keepLines/>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【如适用，通过风险/受益评估后，针对某些疾病、情况或特定的人群（如儿童、老年人、孕妇及哺乳期妇女、肝肾功能不全者），认为不推荐使用该产品，应当明确说明。】</w:t>
      </w:r>
    </w:p>
    <w:p>
      <w:pPr>
        <w:pStyle w:val="2"/>
        <w:rPr>
          <w:rFonts w:hint="eastAsia"/>
          <w:lang w:val="en-US" w:eastAsia="zh-CN"/>
        </w:rPr>
      </w:pPr>
    </w:p>
    <w:p>
      <w:pPr>
        <w:pStyle w:val="2"/>
        <w:rPr>
          <w:rFonts w:hint="eastAsia"/>
          <w:color w:val="0B5FD1"/>
          <w:lang w:val="en-US" w:eastAsia="zh-CN"/>
        </w:rPr>
      </w:pPr>
    </w:p>
    <w:p>
      <w:pPr>
        <w:rPr>
          <w:rFonts w:hint="eastAsia"/>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1B813"/>
    <w:multiLevelType w:val="singleLevel"/>
    <w:tmpl w:val="9451B8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022016F"/>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2023-06-26T09:25:04Z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