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儿童使用</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{此处放入儿童使用的内容}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R，需要根据实际的产品判断是否适用，如不适用，可以不包含该文档】</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bookmarkStart w:id="0" w:name="_GoBack"/>
      <w:bookmarkEnd w:id="0"/>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lang w:val="en-US" w:eastAsia="zh-CN"/>
        </w:rPr>
      </w:pPr>
    </w:p>
    <w:p>
      <w:pPr>
        <w:pStyle w:val="2"/>
        <w:rPr>
          <w:rFonts w:hint="eastAsia"/>
          <w:lang w:val="en-US" w:eastAsia="zh-CN"/>
        </w:rPr>
      </w:pPr>
    </w:p>
    <w:p>
      <w:pPr>
        <w:pStyle w:val="2"/>
        <w:rPr>
          <w:rFonts w:hint="default"/>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240" w:lineRule="auto"/>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儿童使用</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lang w:val="en-US" w:eastAsia="zh-CN"/>
        </w:rPr>
      </w:pPr>
      <w:r>
        <w:rPr>
          <w:rFonts w:hint="eastAsia" w:eastAsia="黑体"/>
          <w:bCs/>
          <w:i w:val="0"/>
          <w:iCs w:val="0"/>
          <w:color w:val="auto"/>
          <w:kern w:val="44"/>
          <w:sz w:val="21"/>
          <w:szCs w:val="21"/>
          <w:lang w:val="en-US" w:eastAsia="zh-CN"/>
        </w:rPr>
        <w:t>{此处放入儿童使用的内容}</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【如申报产品目标患者人群包含新生儿、婴儿或者儿童，应当描述预期使用申报产品治疗、诊断、预防、缓解或治愈疾病、病况的非成人特定群体。】</w:t>
      </w: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D14D2"/>
    <w:multiLevelType w:val="singleLevel"/>
    <w:tmpl w:val="41CD14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5C847DA"/>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2023-06-26T09:24:17Z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