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器械包装描述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{此处放入器械包装描述的内容}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包装说明</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{此处放入包装说明的内容}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【此处需要提供有关产品包装的信息，以及与该产品一起销售的配件包装情况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包装相关的信息包括但不限于：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描述包装的形式(怎么包装的？各级包装里面内容物是什么？包装实物图？)、包装的材料、包装的大小、包装上的标签符号等等】</w:t>
      </w:r>
    </w:p>
    <w:p>
      <w:pPr>
        <w:pStyle w:val="2"/>
        <w:pageBreakBefore w:val="0"/>
        <w:kinsoku/>
        <w:wordWrap/>
        <w:overflowPunct/>
        <w:topLinePunct w:val="0"/>
        <w:bidi w:val="0"/>
        <w:snapToGrid/>
        <w:spacing w:line="360" w:lineRule="auto"/>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rPr>
        <w:t>灭菌方法相适应的最初包装的信息</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{此处放入灭菌方法相适应的最初包装的信息的内容}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【如产品(含一起销售的配件）是无菌或者是由终端用户灭菌，需要提供灭菌方法相适应的最初包装的信息，包括但不限于说明列明灭菌方式、包装材质和包装上信息等】</w:t>
      </w:r>
    </w:p>
    <w:p>
      <w:pPr>
        <w:pStyle w:val="2"/>
        <w:pageBreakBefore w:val="0"/>
        <w:kinsoku/>
        <w:wordWrap/>
        <w:overflowPunct/>
        <w:topLinePunct w:val="0"/>
        <w:bidi w:val="0"/>
        <w:snapToGrid/>
        <w:spacing w:line="360" w:lineRule="auto"/>
        <w:textAlignment w:val="auto"/>
        <w:rPr>
          <w:rFonts w:hint="default"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（参考示例：</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一次性使用静脉留置针采用环氧乙烷灭菌。单包装材质：上纸为透析纸，底膜为聚酯材料，包括下列信息：</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a）产品名称、型号、规格；</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b）流量的名义值；</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c）注册人/生产企业名称、住所、联系方式及生产地址；</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d）生产批号；</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e）生产日期、失效日期；</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f）“一次性使用”的字样或图标；</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g）“无菌”、“无热原”、“包装破损切勿使用”、“不透X射线”、“其他内容详见说明书”的字样或标志；</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r>
        <w:rPr>
          <w:rFonts w:hint="eastAsia" w:ascii="Times New Roman" w:hAnsi="Times New Roman" w:eastAsia="黑体" w:cs="Times New Roman"/>
          <w:bCs/>
          <w:i/>
          <w:iCs/>
          <w:color w:val="1D41D5"/>
          <w:kern w:val="44"/>
          <w:sz w:val="21"/>
          <w:szCs w:val="21"/>
          <w:lang w:val="en-US" w:eastAsia="zh-CN"/>
        </w:rPr>
        <w:t>h）产品技术要求编号，法规要求的证照号码。)</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1D41D5"/>
          <w:kern w:val="44"/>
          <w:sz w:val="21"/>
          <w:szCs w:val="21"/>
          <w:lang w:val="en-US" w:eastAsia="zh-CN"/>
        </w:rPr>
      </w:pPr>
    </w:p>
    <w:p>
      <w:pPr>
        <w:pStyle w:val="2"/>
        <w:pageBreakBefore w:val="0"/>
        <w:kinsoku/>
        <w:wordWrap/>
        <w:overflowPunct/>
        <w:topLinePunct w:val="0"/>
        <w:bidi w:val="0"/>
        <w:snapToGrid/>
        <w:spacing w:line="360" w:lineRule="auto"/>
        <w:textAlignment w:val="auto"/>
        <w:rPr>
          <w:rFonts w:hint="default"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3</w:t>
      </w:r>
      <w:r>
        <w:rPr>
          <w:rFonts w:hint="eastAsia" w:ascii="宋体" w:hAnsi="宋体" w:cs="宋体"/>
          <w:b/>
          <w:bCs/>
          <w:color w:val="auto"/>
          <w:kern w:val="0"/>
          <w:sz w:val="28"/>
          <w:szCs w:val="28"/>
          <w:lang w:val="en-US" w:eastAsia="zh-CN" w:bidi="ar-SA"/>
        </w:rPr>
        <w:t>、</w:t>
      </w:r>
      <w:r>
        <w:rPr>
          <w:rFonts w:hint="eastAsia" w:ascii="宋体" w:hAnsi="宋体" w:eastAsia="宋体" w:cs="宋体"/>
          <w:b/>
          <w:bCs/>
          <w:color w:val="auto"/>
          <w:kern w:val="0"/>
          <w:sz w:val="28"/>
          <w:szCs w:val="28"/>
          <w:lang w:val="en-US" w:eastAsia="zh-CN" w:bidi="ar-SA"/>
        </w:rPr>
        <w:t>进行灭菌前需要包装医疗器械或附件</w:t>
      </w:r>
    </w:p>
    <w:p>
      <w:pPr>
        <w:pStyle w:val="2"/>
        <w:pageBreakBefore w:val="0"/>
        <w:kinsoku/>
        <w:wordWrap/>
        <w:overflowPunct/>
        <w:topLinePunct w:val="0"/>
        <w:bidi w:val="0"/>
        <w:snapToGrid/>
        <w:spacing w:line="360" w:lineRule="auto"/>
        <w:textAlignment w:val="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【若使用者在进行灭菌前需要包装医疗器械或附件时，应当提供正确包装的信息（如材料、成分和尺寸等）。】</w:t>
      </w: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8624B"/>
    <w:multiLevelType w:val="singleLevel"/>
    <w:tmpl w:val="F298624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A592969"/>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2023-06-26T09:19:48Z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