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bookmarkStart w:id="1" w:name="_GoBack"/>
      <w:bookmarkEnd w:id="1"/>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44"/>
          <w:szCs w:val="44"/>
          <w:lang w:val="en-US" w:eastAsia="zh-CN"/>
        </w:rPr>
      </w:pPr>
      <w:r>
        <w:rPr>
          <w:rFonts w:hint="eastAsia" w:eastAsia="黑体"/>
          <w:b/>
          <w:bCs w:val="0"/>
          <w:kern w:val="44"/>
          <w:sz w:val="44"/>
          <w:szCs w:val="44"/>
          <w:lang w:val="en-US" w:eastAsia="zh-CN"/>
        </w:rPr>
        <w:t>申报综述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{此处放入申报综述}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资料要求</w:t>
      </w:r>
      <w:r>
        <w:rPr>
          <w:rFonts w:hint="eastAsia" w:eastAsia="黑体"/>
          <w:bCs/>
          <w:i/>
          <w:iCs/>
          <w:color w:val="0070C0"/>
          <w:kern w:val="44"/>
          <w:sz w:val="21"/>
          <w:szCs w:val="21"/>
          <w:lang w:val="zh-CN" w:eastAsia="zh-CN"/>
        </w:rPr>
        <w:t>：</w:t>
      </w:r>
      <w:r>
        <w:rPr>
          <w:rFonts w:hint="eastAsia" w:eastAsia="黑体"/>
          <w:bCs/>
          <w:i/>
          <w:iCs/>
          <w:color w:val="0070C0"/>
          <w:kern w:val="44"/>
          <w:sz w:val="21"/>
          <w:szCs w:val="21"/>
          <w:lang w:val="zh-CN"/>
        </w:rPr>
        <w:t>描述申报产品的管理类别、分类编码及名称的确定依据。】</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ind w:firstLine="0" w:firstLineChars="0"/>
        <w:jc w:val="center"/>
        <w:rPr>
          <w:rFonts w:eastAsia="宋体"/>
          <w:b/>
          <w:sz w:val="24"/>
          <w:szCs w:val="24"/>
        </w:rPr>
      </w:pPr>
      <w:bookmarkStart w:id="0" w:name="OLE_LINK1"/>
      <w:r>
        <w:rPr>
          <w:rFonts w:hint="eastAsia"/>
          <w:b/>
          <w:sz w:val="24"/>
          <w:szCs w:val="24"/>
          <w:lang w:val="en-US" w:eastAsia="zh-CN"/>
        </w:rPr>
        <w:t>*******</w:t>
      </w:r>
      <w:r>
        <w:rPr>
          <w:rFonts w:hint="eastAsia"/>
          <w:b/>
          <w:sz w:val="24"/>
          <w:szCs w:val="24"/>
        </w:rPr>
        <w:t>有限公司</w:t>
      </w:r>
      <w:bookmarkEnd w:id="0"/>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申报产品的管理类别</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{填写申报产品的管理类别}</w:t>
      </w:r>
    </w:p>
    <w:p>
      <w:pPr>
        <w:pStyle w:val="2"/>
        <w:rPr>
          <w:rFonts w:hint="eastAsia"/>
          <w:color w:val="0000FF"/>
          <w:lang w:val="en-US" w:eastAsia="zh-CN"/>
        </w:rPr>
      </w:pPr>
      <w:r>
        <w:rPr>
          <w:rFonts w:hint="eastAsia"/>
          <w:color w:val="0000FF"/>
          <w:lang w:val="en-US" w:eastAsia="zh-CN"/>
        </w:rPr>
        <w:t>(比如Ⅲ类)</w:t>
      </w:r>
    </w:p>
    <w:p>
      <w:pPr>
        <w:pStyle w:val="2"/>
        <w:rPr>
          <w:rFonts w:hint="default"/>
          <w:color w:val="0000FF"/>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分类编码</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{填写申报产品的分类编码}</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【根据分类相关的法规确认申报产品的分类编码，格式为XX-XX-XX，子目录编号-一级产品类别编号-二级产品类别编号，主要可参考的法规如下：</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总局关于发布医疗器械分类目录的公告（2017年第104号）</w:t>
      </w:r>
    </w:p>
    <w:p>
      <w:pPr>
        <w:pStyle w:val="2"/>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国家药监局关于调整《医疗器械分类目录》部分内容的公告（2020年 第147号）】</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(比如01-06-01)</w:t>
      </w:r>
    </w:p>
    <w:p>
      <w:pPr>
        <w:pStyle w:val="2"/>
        <w:rPr>
          <w:rFonts w:hint="default"/>
          <w:lang w:val="en-US"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管理类别、分类编码、和产品</w:t>
      </w:r>
      <w:r>
        <w:rPr>
          <w:rFonts w:hint="eastAsia" w:ascii="宋体" w:hAnsi="宋体" w:eastAsia="宋体" w:cs="宋体"/>
          <w:b/>
          <w:bCs/>
          <w:sz w:val="28"/>
          <w:szCs w:val="28"/>
          <w:lang w:eastAsia="zh-CN"/>
        </w:rPr>
        <w:t>名称的确定依据</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textAlignment w:val="auto"/>
        <w:rPr>
          <w:rFonts w:hint="eastAsia" w:ascii="Times New Roman" w:hAnsi="Times New Roman" w:eastAsia="黑体" w:cs="Times New Roman"/>
          <w:bCs/>
          <w:i w:val="0"/>
          <w:iCs w:val="0"/>
          <w:color w:val="auto"/>
          <w:kern w:val="44"/>
          <w:sz w:val="21"/>
          <w:szCs w:val="21"/>
          <w:lang w:val="en-US" w:eastAsia="zh-CN"/>
        </w:rPr>
      </w:pPr>
      <w:r>
        <w:rPr>
          <w:rFonts w:hint="eastAsia" w:ascii="Times New Roman" w:hAnsi="Times New Roman" w:eastAsia="黑体" w:cs="Times New Roman"/>
          <w:bCs/>
          <w:i w:val="0"/>
          <w:iCs w:val="0"/>
          <w:color w:val="auto"/>
          <w:kern w:val="44"/>
          <w:sz w:val="21"/>
          <w:szCs w:val="21"/>
          <w:lang w:val="en-US" w:eastAsia="zh-CN"/>
        </w:rPr>
        <w:t>{填写管理类别、分类编码、和产品名称的确定依据}</w:t>
      </w:r>
    </w:p>
    <w:p>
      <w:pPr>
        <w:pStyle w:val="2"/>
        <w:rPr>
          <w:rFonts w:hint="eastAsia" w:ascii="Times New Roman" w:hAnsi="Times New Roman" w:cs="Times New Roman"/>
          <w:color w:val="0000FF"/>
          <w:lang w:val="en-US" w:eastAsia="zh-CN"/>
        </w:rPr>
      </w:pPr>
      <w:r>
        <w:rPr>
          <w:rFonts w:hint="eastAsia" w:ascii="Times New Roman" w:hAnsi="Times New Roman" w:eastAsia="黑体" w:cs="Times New Roman"/>
          <w:bCs/>
          <w:i/>
          <w:iCs/>
          <w:color w:val="0070C0"/>
          <w:kern w:val="44"/>
          <w:sz w:val="21"/>
          <w:szCs w:val="21"/>
          <w:lang w:val="en-US" w:eastAsia="zh-CN"/>
        </w:rPr>
        <w:t>【管理类别、分类编码和产品名称的确定依据通常可依据分类相关的法规，如分类目录、分类界定通知、已上市的同类产品等，根据不同的产品情况会不同】</w:t>
      </w:r>
    </w:p>
    <w:p>
      <w:pPr>
        <w:pStyle w:val="2"/>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(参考示范：</w:t>
      </w:r>
    </w:p>
    <w:p>
      <w:pPr>
        <w:pStyle w:val="2"/>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产品名称XXXXX，依据医疗器械分类目录(2017年第104号)、国家药监局关于调整《医疗器械分类目录》部分内容的公告（2020年 第147号）、《医疗器械通用名称命名规则》(食药监械管〔2016〕35号)、已上市的同类产品（XX公司XX产品名称XXXXX注册证编号），产品名称XXXXX，管理类别为X类、分类编码为XX-XX-XX。</w:t>
      </w:r>
    </w:p>
    <w:p>
      <w:pPr>
        <w:spacing w:line="312" w:lineRule="auto"/>
        <w:jc w:val="center"/>
        <w:outlineLvl w:val="0"/>
        <w:rPr>
          <w:rFonts w:hint="eastAsia" w:ascii="Times New Roman" w:hAnsi="Times New Roman" w:cs="Times New Roman"/>
          <w:color w:val="0000FF"/>
          <w:lang w:val="en-US" w:eastAsia="zh-CN"/>
        </w:rPr>
      </w:pPr>
      <w:r>
        <w:rPr>
          <w:rFonts w:ascii="方正小标宋简体" w:hAnsi="宋体" w:eastAsia="方正小标宋简体"/>
          <w:bCs/>
          <w:color w:val="0000FF"/>
          <w:sz w:val="30"/>
          <w:szCs w:val="30"/>
        </w:rPr>
        <w:t>01</w:t>
      </w:r>
      <w:r>
        <w:rPr>
          <w:rFonts w:hint="eastAsia" w:ascii="方正小标宋简体" w:hAnsi="宋体" w:eastAsia="方正小标宋简体"/>
          <w:bCs/>
          <w:color w:val="0000FF"/>
          <w:sz w:val="30"/>
          <w:szCs w:val="30"/>
        </w:rPr>
        <w:t xml:space="preserve"> 有源手术器械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
        <w:gridCol w:w="572"/>
        <w:gridCol w:w="582"/>
        <w:gridCol w:w="3689"/>
        <w:gridCol w:w="994"/>
        <w:gridCol w:w="1949"/>
        <w:gridCol w:w="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6" w:type="dxa"/>
            <w:noWrap w:val="0"/>
            <w:vAlign w:val="center"/>
          </w:tcPr>
          <w:p>
            <w:pPr>
              <w:widowControl/>
              <w:jc w:val="center"/>
              <w:rPr>
                <w:color w:val="0000FF"/>
                <w:kern w:val="0"/>
                <w:sz w:val="15"/>
                <w:szCs w:val="15"/>
              </w:rPr>
            </w:pPr>
            <w:r>
              <w:rPr>
                <w:rFonts w:hint="eastAsia"/>
                <w:b/>
                <w:bCs/>
                <w:color w:val="0000FF"/>
                <w:kern w:val="0"/>
                <w:sz w:val="15"/>
                <w:szCs w:val="15"/>
              </w:rPr>
              <w:t>序号</w:t>
            </w:r>
          </w:p>
        </w:tc>
        <w:tc>
          <w:tcPr>
            <w:tcW w:w="571" w:type="dxa"/>
            <w:noWrap w:val="0"/>
            <w:vAlign w:val="center"/>
          </w:tcPr>
          <w:p>
            <w:pPr>
              <w:widowControl/>
              <w:jc w:val="center"/>
              <w:rPr>
                <w:rFonts w:hint="eastAsia"/>
                <w:color w:val="0000FF"/>
                <w:kern w:val="0"/>
                <w:sz w:val="15"/>
                <w:szCs w:val="15"/>
              </w:rPr>
            </w:pPr>
            <w:r>
              <w:rPr>
                <w:rFonts w:hint="eastAsia"/>
                <w:b/>
                <w:bCs/>
                <w:color w:val="0000FF"/>
                <w:kern w:val="0"/>
                <w:sz w:val="15"/>
                <w:szCs w:val="15"/>
              </w:rPr>
              <w:t>一级产品类别</w:t>
            </w:r>
          </w:p>
        </w:tc>
        <w:tc>
          <w:tcPr>
            <w:tcW w:w="580" w:type="dxa"/>
            <w:noWrap w:val="0"/>
            <w:vAlign w:val="center"/>
          </w:tcPr>
          <w:p>
            <w:pPr>
              <w:widowControl/>
              <w:jc w:val="center"/>
              <w:rPr>
                <w:color w:val="0000FF"/>
                <w:kern w:val="0"/>
                <w:sz w:val="15"/>
                <w:szCs w:val="15"/>
              </w:rPr>
            </w:pPr>
            <w:r>
              <w:rPr>
                <w:rFonts w:hint="eastAsia"/>
                <w:b/>
                <w:bCs/>
                <w:color w:val="0000FF"/>
                <w:kern w:val="0"/>
                <w:sz w:val="15"/>
                <w:szCs w:val="15"/>
              </w:rPr>
              <w:t>二级产品</w:t>
            </w:r>
            <w:r>
              <w:rPr>
                <w:b/>
                <w:bCs/>
                <w:color w:val="0000FF"/>
                <w:kern w:val="0"/>
                <w:sz w:val="15"/>
                <w:szCs w:val="15"/>
              </w:rPr>
              <w:br w:type="textWrapping"/>
            </w:r>
            <w:r>
              <w:rPr>
                <w:rFonts w:hint="eastAsia"/>
                <w:b/>
                <w:bCs/>
                <w:color w:val="0000FF"/>
                <w:kern w:val="0"/>
                <w:sz w:val="15"/>
                <w:szCs w:val="15"/>
              </w:rPr>
              <w:t>类别</w:t>
            </w:r>
          </w:p>
        </w:tc>
        <w:tc>
          <w:tcPr>
            <w:tcW w:w="3694" w:type="dxa"/>
            <w:noWrap w:val="0"/>
            <w:vAlign w:val="center"/>
          </w:tcPr>
          <w:p>
            <w:pPr>
              <w:widowControl/>
              <w:jc w:val="center"/>
              <w:rPr>
                <w:rFonts w:hint="eastAsia"/>
                <w:color w:val="0000FF"/>
                <w:kern w:val="0"/>
                <w:sz w:val="15"/>
                <w:szCs w:val="15"/>
              </w:rPr>
            </w:pPr>
            <w:r>
              <w:rPr>
                <w:rFonts w:hint="eastAsia"/>
                <w:b/>
                <w:bCs/>
                <w:color w:val="0000FF"/>
                <w:kern w:val="0"/>
                <w:sz w:val="15"/>
                <w:szCs w:val="15"/>
              </w:rPr>
              <w:t>产品描述</w:t>
            </w:r>
          </w:p>
        </w:tc>
        <w:tc>
          <w:tcPr>
            <w:tcW w:w="994" w:type="dxa"/>
            <w:noWrap w:val="0"/>
            <w:vAlign w:val="center"/>
          </w:tcPr>
          <w:p>
            <w:pPr>
              <w:widowControl/>
              <w:jc w:val="center"/>
              <w:rPr>
                <w:rFonts w:hint="eastAsia"/>
                <w:color w:val="0000FF"/>
                <w:kern w:val="0"/>
                <w:sz w:val="15"/>
                <w:szCs w:val="15"/>
              </w:rPr>
            </w:pPr>
            <w:r>
              <w:rPr>
                <w:rFonts w:hint="eastAsia"/>
                <w:b/>
                <w:bCs/>
                <w:color w:val="0000FF"/>
                <w:kern w:val="0"/>
                <w:sz w:val="15"/>
                <w:szCs w:val="15"/>
              </w:rPr>
              <w:t>预期用途</w:t>
            </w:r>
          </w:p>
        </w:tc>
        <w:tc>
          <w:tcPr>
            <w:tcW w:w="1951" w:type="dxa"/>
            <w:noWrap w:val="0"/>
            <w:vAlign w:val="center"/>
          </w:tcPr>
          <w:p>
            <w:pPr>
              <w:widowControl/>
              <w:jc w:val="center"/>
              <w:rPr>
                <w:rFonts w:hint="eastAsia"/>
                <w:color w:val="0000FF"/>
                <w:kern w:val="0"/>
                <w:sz w:val="15"/>
                <w:szCs w:val="15"/>
              </w:rPr>
            </w:pPr>
            <w:r>
              <w:rPr>
                <w:rFonts w:hint="eastAsia"/>
                <w:b/>
                <w:bCs/>
                <w:color w:val="0000FF"/>
                <w:kern w:val="0"/>
                <w:sz w:val="15"/>
                <w:szCs w:val="15"/>
              </w:rPr>
              <w:t>品名举例</w:t>
            </w:r>
          </w:p>
        </w:tc>
        <w:tc>
          <w:tcPr>
            <w:tcW w:w="366" w:type="dxa"/>
            <w:noWrap w:val="0"/>
            <w:vAlign w:val="center"/>
          </w:tcPr>
          <w:p>
            <w:pPr>
              <w:widowControl/>
              <w:jc w:val="center"/>
              <w:rPr>
                <w:rFonts w:hint="eastAsia" w:hAnsi="宋体" w:cs="宋体"/>
                <w:color w:val="0000FF"/>
                <w:kern w:val="0"/>
                <w:sz w:val="15"/>
                <w:szCs w:val="15"/>
              </w:rPr>
            </w:pPr>
            <w:r>
              <w:rPr>
                <w:rFonts w:hint="eastAsia"/>
                <w:b/>
                <w:bCs/>
                <w:color w:val="0000FF"/>
                <w:kern w:val="0"/>
                <w:sz w:val="15"/>
                <w:szCs w:val="15"/>
              </w:rPr>
              <w:t>管理</w:t>
            </w:r>
            <w:r>
              <w:rPr>
                <w:b/>
                <w:bCs/>
                <w:color w:val="0000FF"/>
                <w:kern w:val="0"/>
                <w:sz w:val="15"/>
                <w:szCs w:val="15"/>
              </w:rPr>
              <w:br w:type="textWrapping"/>
            </w:r>
            <w:r>
              <w:rPr>
                <w:rFonts w:hint="eastAsia"/>
                <w:b/>
                <w:bCs/>
                <w:color w:val="0000FF"/>
                <w:kern w:val="0"/>
                <w:sz w:val="15"/>
                <w:szCs w:val="15"/>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noWrap w:val="0"/>
            <w:vAlign w:val="center"/>
          </w:tcPr>
          <w:p>
            <w:pPr>
              <w:widowControl/>
              <w:jc w:val="center"/>
              <w:rPr>
                <w:color w:val="0000FF"/>
                <w:kern w:val="0"/>
                <w:sz w:val="15"/>
                <w:szCs w:val="15"/>
              </w:rPr>
            </w:pPr>
            <w:r>
              <w:rPr>
                <w:color w:val="0000FF"/>
                <w:kern w:val="0"/>
                <w:sz w:val="15"/>
                <w:szCs w:val="15"/>
              </w:rPr>
              <w:t>06</w:t>
            </w:r>
          </w:p>
        </w:tc>
        <w:tc>
          <w:tcPr>
            <w:tcW w:w="0" w:type="auto"/>
            <w:noWrap w:val="0"/>
            <w:vAlign w:val="center"/>
          </w:tcPr>
          <w:p>
            <w:pPr>
              <w:widowControl/>
              <w:jc w:val="center"/>
              <w:rPr>
                <w:color w:val="0000FF"/>
                <w:kern w:val="0"/>
                <w:sz w:val="15"/>
                <w:szCs w:val="15"/>
              </w:rPr>
            </w:pPr>
            <w:r>
              <w:rPr>
                <w:rFonts w:hint="eastAsia"/>
                <w:color w:val="0000FF"/>
                <w:kern w:val="0"/>
                <w:sz w:val="15"/>
                <w:szCs w:val="15"/>
              </w:rPr>
              <w:t>冲击波手术设备</w:t>
            </w:r>
          </w:p>
        </w:tc>
        <w:tc>
          <w:tcPr>
            <w:tcW w:w="0" w:type="auto"/>
            <w:noWrap w:val="0"/>
            <w:vAlign w:val="center"/>
          </w:tcPr>
          <w:p>
            <w:pPr>
              <w:widowControl/>
              <w:jc w:val="center"/>
              <w:rPr>
                <w:color w:val="0000FF"/>
                <w:kern w:val="0"/>
                <w:sz w:val="15"/>
                <w:szCs w:val="15"/>
              </w:rPr>
            </w:pPr>
            <w:r>
              <w:rPr>
                <w:color w:val="0000FF"/>
                <w:kern w:val="0"/>
                <w:sz w:val="15"/>
                <w:szCs w:val="15"/>
              </w:rPr>
              <w:t>01</w:t>
            </w:r>
            <w:r>
              <w:rPr>
                <w:rFonts w:hint="eastAsia"/>
                <w:color w:val="0000FF"/>
                <w:kern w:val="0"/>
                <w:sz w:val="15"/>
                <w:szCs w:val="15"/>
              </w:rPr>
              <w:t>冲击波碎石机</w:t>
            </w:r>
          </w:p>
        </w:tc>
        <w:tc>
          <w:tcPr>
            <w:tcW w:w="0" w:type="auto"/>
            <w:noWrap w:val="0"/>
            <w:vAlign w:val="center"/>
          </w:tcPr>
          <w:p>
            <w:pPr>
              <w:widowControl/>
              <w:jc w:val="center"/>
              <w:rPr>
                <w:color w:val="0000FF"/>
                <w:kern w:val="0"/>
                <w:sz w:val="15"/>
                <w:szCs w:val="15"/>
              </w:rPr>
            </w:pPr>
            <w:r>
              <w:rPr>
                <w:rFonts w:hint="eastAsia"/>
                <w:color w:val="0000FF"/>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0" w:type="auto"/>
            <w:noWrap w:val="0"/>
            <w:vAlign w:val="center"/>
          </w:tcPr>
          <w:p>
            <w:pPr>
              <w:widowControl/>
              <w:jc w:val="center"/>
              <w:rPr>
                <w:color w:val="0000FF"/>
                <w:kern w:val="0"/>
                <w:sz w:val="15"/>
                <w:szCs w:val="15"/>
              </w:rPr>
            </w:pPr>
            <w:r>
              <w:rPr>
                <w:rFonts w:hint="eastAsia"/>
                <w:color w:val="0000FF"/>
                <w:kern w:val="0"/>
                <w:sz w:val="15"/>
                <w:szCs w:val="15"/>
              </w:rPr>
              <w:t>产生的压力脉冲波在患者体内碎石。</w:t>
            </w:r>
          </w:p>
        </w:tc>
        <w:tc>
          <w:tcPr>
            <w:tcW w:w="0" w:type="auto"/>
            <w:noWrap w:val="0"/>
            <w:vAlign w:val="center"/>
          </w:tcPr>
          <w:p>
            <w:pPr>
              <w:widowControl/>
              <w:jc w:val="center"/>
              <w:rPr>
                <w:color w:val="0000FF"/>
                <w:kern w:val="0"/>
                <w:sz w:val="15"/>
                <w:szCs w:val="15"/>
              </w:rPr>
            </w:pPr>
            <w:r>
              <w:rPr>
                <w:rFonts w:hint="eastAsia"/>
                <w:color w:val="0000FF"/>
                <w:kern w:val="0"/>
                <w:sz w:val="15"/>
                <w:szCs w:val="15"/>
              </w:rPr>
              <w:t>体外引发碎石设备、冲击波碎石机、电磁式体外冲击波碎石机、液电式碎石设备、体内冲击波碎石机</w:t>
            </w:r>
          </w:p>
        </w:tc>
        <w:tc>
          <w:tcPr>
            <w:tcW w:w="0" w:type="auto"/>
            <w:noWrap w:val="0"/>
            <w:vAlign w:val="center"/>
          </w:tcPr>
          <w:p>
            <w:pPr>
              <w:widowControl/>
              <w:jc w:val="center"/>
              <w:rPr>
                <w:color w:val="0000FF"/>
                <w:kern w:val="0"/>
                <w:sz w:val="15"/>
                <w:szCs w:val="15"/>
              </w:rPr>
            </w:pPr>
            <w:r>
              <w:rPr>
                <w:rFonts w:hint="eastAsia" w:hAnsi="宋体" w:cs="宋体"/>
                <w:color w:val="0000FF"/>
                <w:kern w:val="0"/>
                <w:sz w:val="15"/>
                <w:szCs w:val="15"/>
              </w:rPr>
              <w:t>Ⅲ</w:t>
            </w:r>
          </w:p>
        </w:tc>
      </w:tr>
    </w:tbl>
    <w:p>
      <w:pPr>
        <w:pStyle w:val="2"/>
        <w:rPr>
          <w:rFonts w:hint="eastAsia" w:ascii="Times New Roman" w:hAnsi="Times New Roman" w:cs="Times New Roman"/>
          <w:color w:val="0000FF"/>
          <w:lang w:val="en-US" w:eastAsia="zh-CN"/>
        </w:rPr>
      </w:pPr>
      <w:r>
        <w:rPr>
          <w:rFonts w:hint="eastAsia" w:ascii="Times New Roman" w:hAnsi="Times New Roman" w:cs="Times New Roman"/>
          <w:color w:val="0000FF"/>
          <w:lang w:val="en-US" w:eastAsia="zh-CN"/>
        </w:rPr>
        <w:t>)</w:t>
      </w:r>
    </w:p>
    <w:p>
      <w:pPr>
        <w:pStyle w:val="2"/>
        <w:rPr>
          <w:rFonts w:hint="eastAsia" w:ascii="Times New Roman" w:hAnsi="Times New Roman" w:cs="Times New Roman"/>
          <w:color w:val="0000FF"/>
          <w:lang w:val="en-US" w:eastAsia="zh-CN"/>
        </w:rPr>
      </w:pPr>
    </w:p>
    <w:p>
      <w:pPr>
        <w:pStyle w:val="2"/>
        <w:numPr>
          <w:ilvl w:val="0"/>
          <w:numId w:val="1"/>
        </w:numPr>
        <w:ind w:left="0" w:leftChars="0" w:firstLine="0" w:firstLine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产品适应范围</w:t>
      </w:r>
    </w:p>
    <w:p>
      <w:pPr>
        <w:pStyle w:val="2"/>
        <w:rPr>
          <w:rFonts w:hint="default" w:ascii="Times New Roman" w:hAnsi="Times New Roman" w:cs="Times New Roman"/>
          <w:color w:val="0000FF"/>
          <w:lang w:val="en-US" w:eastAsia="zh-CN"/>
        </w:rPr>
      </w:pPr>
    </w:p>
    <w:p>
      <w:pPr>
        <w:pStyle w:val="2"/>
        <w:rPr>
          <w:rFonts w:hint="eastAsia" w:ascii="Times New Roman" w:hAnsi="Times New Roman" w:cs="Times New Roman"/>
          <w:i/>
          <w:iCs/>
          <w:color w:val="0000FF"/>
          <w:lang w:val="en-US" w:eastAsia="zh-CN"/>
        </w:rPr>
      </w:pPr>
      <w:r>
        <w:rPr>
          <w:rFonts w:hint="eastAsia" w:ascii="Times New Roman" w:hAnsi="Times New Roman" w:cs="Times New Roman"/>
          <w:i/>
          <w:iCs/>
          <w:color w:val="0000FF"/>
          <w:lang w:val="en-US" w:eastAsia="zh-CN"/>
        </w:rPr>
        <w:t>【描述产品适用范围，需要与说明书和临床评价报告保持一致。】</w:t>
      </w:r>
    </w:p>
    <w:p>
      <w:pPr>
        <w:pStyle w:val="2"/>
        <w:numPr>
          <w:ilvl w:val="0"/>
          <w:numId w:val="0"/>
        </w:numPr>
        <w:ind w:leftChars="0"/>
        <w:rPr>
          <w:rFonts w:hint="eastAsia" w:ascii="宋体" w:hAnsi="宋体" w:eastAsia="宋体" w:cs="宋体"/>
          <w:b/>
          <w:bCs/>
          <w:color w:val="auto"/>
          <w:kern w:val="2"/>
          <w:sz w:val="28"/>
          <w:szCs w:val="28"/>
          <w:lang w:val="en-US" w:eastAsia="zh-CN" w:bidi="ar-SA"/>
        </w:rPr>
      </w:pPr>
    </w:p>
    <w:p>
      <w:pPr>
        <w:pStyle w:val="2"/>
        <w:numPr>
          <w:ilvl w:val="0"/>
          <w:numId w:val="1"/>
        </w:numPr>
        <w:ind w:left="0" w:leftChars="0" w:firstLine="0" w:firstLineChars="0"/>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有关申报产品的背景信息概述或特别细节</w:t>
      </w:r>
    </w:p>
    <w:p>
      <w:pPr>
        <w:pStyle w:val="2"/>
        <w:rPr>
          <w:rFonts w:hint="eastAsia" w:ascii="Times New Roman" w:hAnsi="Times New Roman" w:cs="Times New Roman"/>
          <w:i/>
          <w:iCs/>
          <w:color w:val="0000FF"/>
          <w:lang w:val="en-US" w:eastAsia="zh-CN"/>
        </w:rPr>
      </w:pPr>
    </w:p>
    <w:p>
      <w:pPr>
        <w:pStyle w:val="2"/>
        <w:rPr>
          <w:rFonts w:hint="default" w:ascii="Times New Roman" w:hAnsi="Times New Roman" w:cs="Times New Roman"/>
          <w:i/>
          <w:iCs/>
          <w:color w:val="0000FF"/>
          <w:lang w:val="en-US" w:eastAsia="zh-CN"/>
        </w:rPr>
      </w:pPr>
      <w:r>
        <w:rPr>
          <w:rFonts w:hint="eastAsia" w:ascii="Times New Roman" w:hAnsi="Times New Roman" w:cs="Times New Roman"/>
          <w:i/>
          <w:iCs/>
          <w:color w:val="0000FF"/>
          <w:lang w:val="en-US" w:eastAsia="zh-CN"/>
        </w:rPr>
        <w:t>【如：申报产品的历史概述、历次提交的信息，与其他经批准上市产品的关系等。如不适用，应说明。】</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96EDE"/>
    <w:multiLevelType w:val="singleLevel"/>
    <w:tmpl w:val="2C996E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0FE4037"/>
    <w:rsid w:val="04D55F72"/>
    <w:rsid w:val="05410997"/>
    <w:rsid w:val="19DA2300"/>
    <w:rsid w:val="1E907AE9"/>
    <w:rsid w:val="268364B1"/>
    <w:rsid w:val="3B07083A"/>
    <w:rsid w:val="42491C0F"/>
    <w:rsid w:val="462E437E"/>
    <w:rsid w:val="46561FD1"/>
    <w:rsid w:val="4B950155"/>
    <w:rsid w:val="543A6A17"/>
    <w:rsid w:val="5854681A"/>
    <w:rsid w:val="5B3D4524"/>
    <w:rsid w:val="638C3F6B"/>
    <w:rsid w:val="681F3395"/>
    <w:rsid w:val="6FAA0CDE"/>
    <w:rsid w:val="71B55FDF"/>
    <w:rsid w:val="73041C9C"/>
    <w:rsid w:val="747702DB"/>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922</Words>
  <Characters>997</Characters>
  <Lines>1</Lines>
  <Paragraphs>1</Paragraphs>
  <TotalTime>0</TotalTime>
  <ScaleCrop>false</ScaleCrop>
  <LinksUpToDate>false</LinksUpToDate>
  <CharactersWithSpaces>1108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2023-06-26T09:18:13Z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